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608E3" w14:textId="6F23A1D3" w:rsidR="00866DBB" w:rsidRDefault="00866DBB" w:rsidP="00A4134A">
      <w:pPr>
        <w:pStyle w:val="Subtitle"/>
        <w:ind w:right="288"/>
        <w:rPr>
          <w:rFonts w:cs="Arial"/>
          <w:sz w:val="20"/>
        </w:rPr>
      </w:pPr>
      <w:bookmarkStart w:id="0" w:name="_Toc438266927"/>
      <w:bookmarkStart w:id="1" w:name="_Toc438267901"/>
      <w:bookmarkStart w:id="2" w:name="_Toc438366667"/>
      <w:r>
        <w:t>Section 8</w:t>
      </w:r>
      <w:r w:rsidR="007C28F9">
        <w:t>:</w:t>
      </w:r>
      <w:r>
        <w:t xml:space="preserve"> Particular Conditions of Contract</w:t>
      </w:r>
      <w:bookmarkEnd w:id="0"/>
      <w:bookmarkEnd w:id="1"/>
      <w:bookmarkEnd w:id="2"/>
    </w:p>
    <w:p w14:paraId="1F8608E4" w14:textId="77777777" w:rsidR="00866DBB" w:rsidRDefault="00866DBB">
      <w:pPr>
        <w:ind w:left="180" w:right="288"/>
        <w:rPr>
          <w:rFonts w:ascii="Arial" w:hAnsi="Arial" w:cs="Arial"/>
          <w:sz w:val="20"/>
        </w:rPr>
      </w:pPr>
    </w:p>
    <w:p w14:paraId="1F8608E5" w14:textId="77777777" w:rsidR="00866DBB" w:rsidRDefault="00866DBB">
      <w:pPr>
        <w:ind w:left="180" w:right="288"/>
        <w:rPr>
          <w:rFonts w:ascii="Arial" w:hAnsi="Arial" w:cs="Arial"/>
          <w:sz w:val="20"/>
        </w:rPr>
      </w:pPr>
    </w:p>
    <w:p w14:paraId="1F8608E7" w14:textId="78B5D1CD" w:rsidR="008C4FD7" w:rsidRPr="00D20A1B" w:rsidRDefault="008C4FD7" w:rsidP="008C4FD7">
      <w:pPr>
        <w:rPr>
          <w:rFonts w:ascii="Arial" w:hAnsi="Arial" w:cs="Arial"/>
          <w:sz w:val="20"/>
          <w:szCs w:val="20"/>
        </w:rPr>
      </w:pPr>
      <w:r w:rsidRPr="00D20A1B">
        <w:rPr>
          <w:rFonts w:ascii="Arial" w:hAnsi="Arial" w:cs="Arial"/>
          <w:sz w:val="20"/>
          <w:szCs w:val="20"/>
        </w:rPr>
        <w:t xml:space="preserve">The following Particular Conditions </w:t>
      </w:r>
      <w:r w:rsidR="00244E8F" w:rsidRPr="00D20A1B">
        <w:rPr>
          <w:rFonts w:ascii="Arial" w:hAnsi="Arial" w:cs="Arial"/>
          <w:sz w:val="20"/>
          <w:szCs w:val="20"/>
        </w:rPr>
        <w:t xml:space="preserve">of Contract </w:t>
      </w:r>
      <w:r w:rsidRPr="00D20A1B">
        <w:rPr>
          <w:rFonts w:ascii="Arial" w:hAnsi="Arial" w:cs="Arial"/>
          <w:sz w:val="20"/>
          <w:szCs w:val="20"/>
        </w:rPr>
        <w:t>shall supplement the GC</w:t>
      </w:r>
      <w:r w:rsidR="00244E8F" w:rsidRPr="00D20A1B">
        <w:rPr>
          <w:rFonts w:ascii="Arial" w:hAnsi="Arial" w:cs="Arial"/>
          <w:sz w:val="20"/>
          <w:szCs w:val="20"/>
        </w:rPr>
        <w:t>C</w:t>
      </w:r>
      <w:r w:rsidR="005F75BA" w:rsidRPr="00D20A1B">
        <w:rPr>
          <w:rFonts w:ascii="Arial" w:hAnsi="Arial" w:cs="Arial"/>
          <w:sz w:val="20"/>
          <w:szCs w:val="20"/>
        </w:rPr>
        <w:t>.</w:t>
      </w:r>
      <w:r w:rsidRPr="00D20A1B">
        <w:rPr>
          <w:rFonts w:ascii="Arial" w:hAnsi="Arial" w:cs="Arial"/>
          <w:sz w:val="20"/>
          <w:szCs w:val="20"/>
        </w:rPr>
        <w:t xml:space="preserve"> Whenever there is a conflict, the provisions herein shall prevail over those in the GC</w:t>
      </w:r>
      <w:r w:rsidR="00244E8F" w:rsidRPr="00D20A1B">
        <w:rPr>
          <w:rFonts w:ascii="Arial" w:hAnsi="Arial" w:cs="Arial"/>
          <w:sz w:val="20"/>
          <w:szCs w:val="20"/>
        </w:rPr>
        <w:t>C</w:t>
      </w:r>
      <w:r w:rsidR="00110235">
        <w:rPr>
          <w:rFonts w:ascii="Arial" w:hAnsi="Arial" w:cs="Arial"/>
          <w:sz w:val="20"/>
          <w:szCs w:val="20"/>
        </w:rPr>
        <w:t>.</w:t>
      </w:r>
    </w:p>
    <w:p w14:paraId="1F8608EE" w14:textId="54CA48DB" w:rsidR="00805F8E" w:rsidRDefault="00805F8E" w:rsidP="00805F8E">
      <w:pPr>
        <w:rPr>
          <w:rFonts w:ascii="Arial" w:hAnsi="Arial" w:cs="Arial"/>
          <w:sz w:val="20"/>
          <w:szCs w:val="20"/>
        </w:rPr>
      </w:pPr>
    </w:p>
    <w:p w14:paraId="4D8DD734" w14:textId="77777777" w:rsidR="00EE26C0" w:rsidRPr="00805F8E" w:rsidRDefault="00EE26C0" w:rsidP="00805F8E">
      <w:pPr>
        <w:rPr>
          <w:rFonts w:ascii="Arial" w:hAnsi="Arial" w:cs="Arial"/>
          <w:sz w:val="20"/>
          <w:szCs w:val="20"/>
        </w:rPr>
      </w:pPr>
    </w:p>
    <w:tbl>
      <w:tblPr>
        <w:tblW w:w="9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7670"/>
      </w:tblGrid>
      <w:tr w:rsidR="00805F8E" w:rsidRPr="00805F8E" w14:paraId="1F8608F0" w14:textId="77777777">
        <w:trPr>
          <w:cantSplit/>
        </w:trPr>
        <w:tc>
          <w:tcPr>
            <w:tcW w:w="9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EF" w14:textId="77777777" w:rsidR="00805F8E" w:rsidRPr="007518D2" w:rsidRDefault="00805F8E" w:rsidP="00820444">
            <w:pPr>
              <w:tabs>
                <w:tab w:val="left" w:pos="556"/>
              </w:tabs>
              <w:spacing w:before="120" w:after="120"/>
              <w:ind w:left="562" w:right="-72" w:hanging="562"/>
              <w:rPr>
                <w:rFonts w:ascii="Arial" w:hAnsi="Arial" w:cs="Arial"/>
                <w:b/>
              </w:rPr>
            </w:pPr>
            <w:r w:rsidRPr="007518D2">
              <w:rPr>
                <w:rFonts w:ascii="Arial" w:hAnsi="Arial" w:cs="Arial"/>
                <w:b/>
              </w:rPr>
              <w:t>A. General</w:t>
            </w:r>
          </w:p>
        </w:tc>
      </w:tr>
      <w:tr w:rsidR="00805F8E" w:rsidRPr="00805F8E" w14:paraId="1F8608F3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1" w14:textId="77777777" w:rsidR="00805F8E" w:rsidRPr="00805F8E" w:rsidRDefault="00C37999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GCC 1.</w:t>
            </w:r>
            <w:r w:rsidR="00AB62BC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(d)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2" w14:textId="5D6C7581" w:rsidR="00805F8E" w:rsidRPr="00805F8E" w:rsidRDefault="00C37999" w:rsidP="007518D2">
            <w:pPr>
              <w:tabs>
                <w:tab w:val="left" w:pos="556"/>
              </w:tabs>
              <w:spacing w:before="120" w:after="120"/>
              <w:ind w:left="556" w:right="2" w:hanging="556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>financing institutions is</w:t>
            </w:r>
            <w:r w:rsidR="009E72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49A8">
              <w:rPr>
                <w:rFonts w:ascii="Arial" w:hAnsi="Arial" w:cs="Arial"/>
                <w:sz w:val="20"/>
                <w:szCs w:val="20"/>
              </w:rPr>
              <w:t>Asian Development Bank (ADB)</w:t>
            </w:r>
          </w:p>
        </w:tc>
      </w:tr>
      <w:tr w:rsidR="00C37999" w:rsidRPr="00805F8E" w14:paraId="1F8608F6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4" w14:textId="77777777" w:rsidR="00C37999" w:rsidRPr="00805F8E" w:rsidRDefault="00C37999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>GCC 1.1 (</w:t>
            </w:r>
            <w:r w:rsidR="00C8397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5" w14:textId="1D53F427" w:rsidR="00C37999" w:rsidRPr="00C064FA" w:rsidRDefault="00C37999" w:rsidP="007518D2">
            <w:pPr>
              <w:tabs>
                <w:tab w:val="left" w:pos="556"/>
              </w:tabs>
              <w:spacing w:before="120" w:after="120"/>
              <w:ind w:left="556" w:right="2" w:hanging="556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Employer is </w:t>
            </w:r>
            <w:r w:rsidR="00FF49A8" w:rsidRPr="1D720AE6">
              <w:rPr>
                <w:rFonts w:ascii="Arial" w:eastAsiaTheme="minorEastAsia" w:hAnsi="Arial" w:cs="Arial"/>
                <w:sz w:val="20"/>
                <w:szCs w:val="20"/>
              </w:rPr>
              <w:t>Ministry of Finance</w:t>
            </w:r>
            <w:r w:rsidR="00FF49A8">
              <w:rPr>
                <w:rFonts w:ascii="Arial" w:eastAsiaTheme="minorEastAsia" w:hAnsi="Arial" w:cs="Arial"/>
                <w:sz w:val="20"/>
                <w:szCs w:val="20"/>
              </w:rPr>
              <w:t xml:space="preserve"> and Planning</w:t>
            </w:r>
          </w:p>
        </w:tc>
      </w:tr>
      <w:tr w:rsidR="00C37999" w:rsidRPr="00805F8E" w14:paraId="1F8608FA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7" w14:textId="77777777" w:rsidR="00C37999" w:rsidRPr="00805F8E" w:rsidRDefault="00C37999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>GCC 1.1 (</w:t>
            </w:r>
            <w:r w:rsidR="00C8397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8" w14:textId="5F9E8C47" w:rsidR="00C37999" w:rsidRPr="00C064FA" w:rsidRDefault="00C37999" w:rsidP="007518D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Intended Completion Date for the whole of the Works shall be </w:t>
            </w:r>
            <w:r w:rsidR="00E76FD9">
              <w:rPr>
                <w:rFonts w:ascii="Arial" w:hAnsi="Arial" w:cs="Arial"/>
                <w:sz w:val="20"/>
                <w:szCs w:val="20"/>
              </w:rPr>
              <w:t>720 days</w:t>
            </w:r>
          </w:p>
          <w:p w14:paraId="1F8608F9" w14:textId="01839D5C" w:rsidR="00C37999" w:rsidRPr="004A4FA9" w:rsidRDefault="00C37999" w:rsidP="007518D2">
            <w:pPr>
              <w:spacing w:before="120" w:after="120"/>
              <w:rPr>
                <w:rFonts w:ascii="Comic Sans MS" w:hAnsi="Comic Sans MS" w:cs="Arial"/>
                <w:i/>
                <w:sz w:val="16"/>
                <w:szCs w:val="16"/>
              </w:rPr>
            </w:pPr>
          </w:p>
        </w:tc>
      </w:tr>
      <w:tr w:rsidR="00C37999" w:rsidRPr="00805F8E" w14:paraId="1F8608FD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B" w14:textId="77777777" w:rsidR="00C37999" w:rsidRPr="00805F8E" w:rsidRDefault="00C37999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>GCC 1.1 (</w:t>
            </w:r>
            <w:r w:rsidR="00C83972">
              <w:rPr>
                <w:rFonts w:ascii="Arial" w:hAnsi="Arial" w:cs="Arial"/>
                <w:b/>
                <w:sz w:val="20"/>
                <w:szCs w:val="20"/>
              </w:rPr>
              <w:t>cc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C" w14:textId="46683CE8" w:rsidR="00C37999" w:rsidRPr="00C064FA" w:rsidRDefault="00C37999" w:rsidP="007518D2">
            <w:pPr>
              <w:tabs>
                <w:tab w:val="left" w:pos="556"/>
              </w:tabs>
              <w:spacing w:before="120" w:after="120"/>
              <w:ind w:left="556" w:right="2" w:hanging="556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>Project Manager</w:t>
            </w:r>
            <w:r w:rsidRPr="00805F8E">
              <w:rPr>
                <w:rFonts w:ascii="Arial" w:hAnsi="Arial" w:cs="Arial"/>
                <w:sz w:val="20"/>
                <w:szCs w:val="20"/>
              </w:rPr>
              <w:t xml:space="preserve"> is </w:t>
            </w:r>
            <w:r w:rsidR="00FF49A8">
              <w:rPr>
                <w:rFonts w:ascii="Arial" w:hAnsi="Arial" w:cs="Arial"/>
                <w:sz w:val="20"/>
                <w:szCs w:val="20"/>
              </w:rPr>
              <w:t>Design Link Associates Pvt Ltd</w:t>
            </w:r>
          </w:p>
        </w:tc>
      </w:tr>
      <w:tr w:rsidR="00C37999" w:rsidRPr="00805F8E" w14:paraId="1F860900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E" w14:textId="77777777" w:rsidR="00C37999" w:rsidRPr="00805F8E" w:rsidRDefault="00C37999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>GCC 1.1 (</w:t>
            </w:r>
            <w:r w:rsidR="002B1928">
              <w:rPr>
                <w:rFonts w:ascii="Arial" w:hAnsi="Arial" w:cs="Arial"/>
                <w:b/>
                <w:sz w:val="20"/>
                <w:szCs w:val="20"/>
              </w:rPr>
              <w:t>ff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8FF" w14:textId="36C2E19F" w:rsidR="00C37999" w:rsidRPr="00C064FA" w:rsidRDefault="00C37999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Site is located at </w:t>
            </w:r>
            <w:r w:rsidR="00FF49A8">
              <w:rPr>
                <w:rFonts w:ascii="Arial" w:hAnsi="Arial" w:cs="Arial"/>
                <w:noProof/>
                <w:sz w:val="20"/>
                <w:szCs w:val="20"/>
              </w:rPr>
              <w:t>Hulhumale, island</w:t>
            </w:r>
            <w:r w:rsidR="00C064FA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805F8E">
              <w:rPr>
                <w:rFonts w:ascii="Arial" w:hAnsi="Arial" w:cs="Arial"/>
                <w:sz w:val="20"/>
                <w:szCs w:val="20"/>
              </w:rPr>
              <w:t xml:space="preserve">and is defined in drawings </w:t>
            </w:r>
            <w:r w:rsidR="004E282D">
              <w:rPr>
                <w:rFonts w:ascii="Arial" w:hAnsi="Arial" w:cs="Arial"/>
                <w:sz w:val="20"/>
                <w:szCs w:val="20"/>
              </w:rPr>
              <w:t>n</w:t>
            </w:r>
            <w:r w:rsidRPr="00805F8E">
              <w:rPr>
                <w:rFonts w:ascii="Arial" w:hAnsi="Arial" w:cs="Arial"/>
                <w:sz w:val="20"/>
                <w:szCs w:val="20"/>
              </w:rPr>
              <w:t xml:space="preserve">o. </w:t>
            </w:r>
            <w:r w:rsidR="00FF49A8">
              <w:rPr>
                <w:rFonts w:ascii="Arial" w:hAnsi="Arial" w:cs="Arial"/>
                <w:sz w:val="20"/>
                <w:szCs w:val="20"/>
              </w:rPr>
              <w:t>(attached)</w:t>
            </w:r>
          </w:p>
        </w:tc>
      </w:tr>
      <w:tr w:rsidR="00C37999" w:rsidRPr="00805F8E" w14:paraId="1F860903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01" w14:textId="77777777" w:rsidR="00C37999" w:rsidRPr="00805F8E" w:rsidRDefault="00C37999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>GCC 1.1 (</w:t>
            </w:r>
            <w:r w:rsidR="002B1928"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02" w14:textId="44A3A6C4" w:rsidR="00C37999" w:rsidRPr="00C064FA" w:rsidRDefault="00C37999" w:rsidP="007518D2">
            <w:pPr>
              <w:tabs>
                <w:tab w:val="left" w:pos="556"/>
              </w:tabs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E76FD9">
              <w:rPr>
                <w:rFonts w:ascii="Arial" w:hAnsi="Arial" w:cs="Arial"/>
                <w:sz w:val="20"/>
                <w:szCs w:val="20"/>
              </w:rPr>
              <w:t xml:space="preserve">intended </w:t>
            </w:r>
            <w:r w:rsidRPr="00805F8E">
              <w:rPr>
                <w:rFonts w:ascii="Arial" w:hAnsi="Arial" w:cs="Arial"/>
                <w:sz w:val="20"/>
                <w:szCs w:val="20"/>
              </w:rPr>
              <w:t xml:space="preserve">Start Date shall be </w:t>
            </w:r>
            <w:r w:rsidR="000B193D">
              <w:rPr>
                <w:rFonts w:ascii="Arial" w:hAnsi="Arial" w:cs="Arial"/>
                <w:sz w:val="20"/>
                <w:szCs w:val="20"/>
              </w:rPr>
              <w:t>30</w:t>
            </w:r>
            <w:r w:rsidR="00E76FD9" w:rsidRPr="000B193D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="00E76F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F49A8">
              <w:rPr>
                <w:rFonts w:ascii="Arial" w:hAnsi="Arial" w:cs="Arial"/>
                <w:sz w:val="20"/>
                <w:szCs w:val="20"/>
              </w:rPr>
              <w:t>November 2025</w:t>
            </w:r>
          </w:p>
        </w:tc>
      </w:tr>
      <w:tr w:rsidR="00C37999" w:rsidRPr="00805F8E" w14:paraId="1F860906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04" w14:textId="77777777" w:rsidR="00C37999" w:rsidRPr="00805F8E" w:rsidRDefault="00C37999" w:rsidP="00C064FA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>GCC 1.1 (</w:t>
            </w:r>
            <w:r w:rsidR="002B1928">
              <w:rPr>
                <w:rFonts w:ascii="Arial" w:hAnsi="Arial" w:cs="Arial"/>
                <w:b/>
                <w:sz w:val="20"/>
                <w:szCs w:val="20"/>
              </w:rPr>
              <w:t>mm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7002C" w14:textId="223AEB0B" w:rsidR="00C37999" w:rsidRPr="000B193D" w:rsidRDefault="00C37999" w:rsidP="00C064FA">
            <w:pPr>
              <w:spacing w:before="120" w:after="120"/>
              <w:ind w:right="2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B19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The Works </w:t>
            </w:r>
            <w:r w:rsidR="0039282F" w:rsidRPr="000B193D">
              <w:rPr>
                <w:rFonts w:ascii="Arial" w:hAnsi="Arial" w:cs="Arial"/>
                <w:i/>
                <w:iCs/>
                <w:sz w:val="20"/>
                <w:szCs w:val="20"/>
              </w:rPr>
              <w:t>consist of:</w:t>
            </w:r>
          </w:p>
          <w:tbl>
            <w:tblPr>
              <w:tblW w:w="78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0"/>
              <w:gridCol w:w="6180"/>
            </w:tblGrid>
            <w:tr w:rsidR="00E76FD9" w:rsidRPr="00E76FD9" w14:paraId="7345D39B" w14:textId="77777777" w:rsidTr="00D87A71">
              <w:trPr>
                <w:trHeight w:val="261"/>
              </w:trPr>
              <w:tc>
                <w:tcPr>
                  <w:tcW w:w="1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1E4A13" w14:textId="77777777" w:rsidR="00E76FD9" w:rsidRPr="00E76FD9" w:rsidRDefault="00E76FD9" w:rsidP="00E76FD9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Name of Health Center</w:t>
                  </w:r>
                </w:p>
              </w:tc>
              <w:tc>
                <w:tcPr>
                  <w:tcW w:w="6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0C91E4" w14:textId="77777777" w:rsidR="00E76FD9" w:rsidRPr="00E76FD9" w:rsidRDefault="00E76FD9" w:rsidP="00E76FD9">
                  <w:pPr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  <w:t>Details of Work (Brief Summary)</w:t>
                  </w:r>
                </w:p>
              </w:tc>
            </w:tr>
            <w:tr w:rsidR="00E76FD9" w:rsidRPr="00E76FD9" w14:paraId="75375E82" w14:textId="77777777" w:rsidTr="00D87A71">
              <w:trPr>
                <w:trHeight w:val="261"/>
              </w:trPr>
              <w:tc>
                <w:tcPr>
                  <w:tcW w:w="1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14:paraId="58D3E435" w14:textId="77777777" w:rsidR="00E76FD9" w:rsidRPr="00E76FD9" w:rsidRDefault="00E76FD9" w:rsidP="00E76FD9">
                  <w:pPr>
                    <w:pStyle w:val="ListParagraph"/>
                    <w:spacing w:before="60" w:after="60"/>
                    <w:ind w:left="60" w:right="72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sz w:val="20"/>
                      <w:szCs w:val="20"/>
                    </w:rPr>
                    <w:t>Central level cold chain facility and complex at Hulhumale’ island</w:t>
                  </w:r>
                </w:p>
                <w:p w14:paraId="53E6ABAE" w14:textId="77777777" w:rsidR="00E76FD9" w:rsidRPr="00E76FD9" w:rsidRDefault="00E76FD9" w:rsidP="00E76FD9">
                  <w:pPr>
                    <w:spacing w:before="60" w:after="60"/>
                    <w:ind w:right="72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          </w:t>
                  </w:r>
                </w:p>
              </w:tc>
              <w:tc>
                <w:tcPr>
                  <w:tcW w:w="6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5517AA" w14:textId="77777777" w:rsidR="00E76FD9" w:rsidRPr="00E76FD9" w:rsidRDefault="00E76FD9" w:rsidP="00E76FD9">
                  <w:pPr>
                    <w:spacing w:before="60" w:after="60"/>
                    <w:ind w:left="60" w:right="72"/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Key Construction Activities:</w:t>
                  </w:r>
                </w:p>
                <w:p w14:paraId="0279AC5A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spacing w:before="60" w:after="60"/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Construction and completion of </w:t>
                  </w:r>
                  <w:r w:rsidRPr="00E76FD9">
                    <w:rPr>
                      <w:rFonts w:ascii="Arial" w:hAnsi="Arial" w:cs="Arial"/>
                      <w:sz w:val="20"/>
                      <w:szCs w:val="20"/>
                    </w:rPr>
                    <w:t>a central level cold chain facility and complex at Hulhumale’ island</w:t>
                  </w:r>
                </w:p>
                <w:p w14:paraId="10D5B923" w14:textId="77777777" w:rsidR="00E76FD9" w:rsidRPr="00E76FD9" w:rsidRDefault="00E76FD9" w:rsidP="00E76FD9">
                  <w:pPr>
                    <w:pStyle w:val="ListParagraph"/>
                    <w:spacing w:before="60" w:after="60"/>
                    <w:ind w:left="60" w:right="72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</w:p>
                <w:p w14:paraId="722C2F48" w14:textId="77777777" w:rsidR="00E76FD9" w:rsidRPr="00E76FD9" w:rsidRDefault="00E76FD9" w:rsidP="00E76FD9">
                  <w:pPr>
                    <w:spacing w:before="60" w:after="60"/>
                    <w:ind w:left="60" w:right="72"/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b/>
                      <w:bCs/>
                      <w:color w:val="000000" w:themeColor="text1"/>
                      <w:sz w:val="20"/>
                      <w:szCs w:val="20"/>
                    </w:rPr>
                    <w:t>Major Construction Works:</w:t>
                  </w:r>
                </w:p>
                <w:p w14:paraId="241EDD83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Excavation and Earthworks</w:t>
                  </w:r>
                </w:p>
                <w:p w14:paraId="4F24A3E9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Concrete Work</w:t>
                  </w:r>
                </w:p>
                <w:p w14:paraId="4BB0F9C3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Masonry work</w:t>
                  </w:r>
                </w:p>
                <w:p w14:paraId="5F6A78B1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Waterproofing and Thermal Insulation works</w:t>
                  </w:r>
                </w:p>
                <w:p w14:paraId="12A509C0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Floor, Wall and Ceiling Finishes</w:t>
                  </w:r>
                </w:p>
                <w:p w14:paraId="6073D05B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Painting</w:t>
                  </w:r>
                </w:p>
                <w:p w14:paraId="560D2972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Roof Covering/ Roof Plumbing</w:t>
                  </w:r>
                </w:p>
                <w:p w14:paraId="51FBD3F4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Structural Steel works (In Roof Frame)</w:t>
                  </w:r>
                </w:p>
                <w:p w14:paraId="44FF13CD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Electrical Installations</w:t>
                  </w:r>
                </w:p>
                <w:p w14:paraId="08A7895A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Solar Panel Installation </w:t>
                  </w:r>
                </w:p>
                <w:p w14:paraId="1E4CE810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Fire protection Systems and Other Installations</w:t>
                  </w:r>
                </w:p>
                <w:p w14:paraId="076F614B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Plumbing and Sanitary Installations</w:t>
                  </w:r>
                </w:p>
                <w:p w14:paraId="56F4258E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Mechanical Installations</w:t>
                  </w:r>
                </w:p>
                <w:p w14:paraId="6F5191F9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ELV Installations</w:t>
                  </w:r>
                </w:p>
                <w:p w14:paraId="2759F20C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Air Conditioning and Ventilation Systems</w:t>
                  </w:r>
                </w:p>
                <w:p w14:paraId="40A7821D" w14:textId="77777777" w:rsidR="00E76FD9" w:rsidRPr="00E76FD9" w:rsidRDefault="00E76FD9" w:rsidP="00E76FD9">
                  <w:pPr>
                    <w:pStyle w:val="ListParagraph"/>
                    <w:numPr>
                      <w:ilvl w:val="0"/>
                      <w:numId w:val="18"/>
                    </w:numPr>
                    <w:ind w:left="60" w:right="72" w:firstLine="0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76FD9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Miscellaneous works</w:t>
                  </w:r>
                </w:p>
              </w:tc>
            </w:tr>
          </w:tbl>
          <w:p w14:paraId="37BBE2F1" w14:textId="77777777" w:rsidR="0039282F" w:rsidRPr="00E76FD9" w:rsidRDefault="0039282F" w:rsidP="00C064FA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</w:p>
          <w:p w14:paraId="1F860905" w14:textId="31B3F782" w:rsidR="0039282F" w:rsidRPr="000B193D" w:rsidRDefault="0039282F" w:rsidP="00C064FA">
            <w:pPr>
              <w:spacing w:before="120" w:after="120"/>
              <w:ind w:right="2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C37999" w:rsidRPr="00805F8E" w14:paraId="1F860909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07" w14:textId="77777777" w:rsidR="00C37999" w:rsidRPr="00805F8E" w:rsidRDefault="00C37999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lastRenderedPageBreak/>
              <w:t>GCC 2.2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08" w14:textId="2CF46BDE" w:rsidR="00C37999" w:rsidRPr="00C064FA" w:rsidRDefault="00C37999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>Sectional Completions are:</w:t>
            </w:r>
            <w:r w:rsidR="00E17103" w:rsidRPr="00952733">
              <w:rPr>
                <w:rFonts w:ascii="Arial" w:hAnsi="Arial"/>
                <w:sz w:val="20"/>
                <w:szCs w:val="20"/>
              </w:rPr>
              <w:t xml:space="preserve"> Completion Date, and the Intended Completion Date apply to any Section of the Works</w:t>
            </w:r>
          </w:p>
        </w:tc>
      </w:tr>
      <w:tr w:rsidR="00C37999" w:rsidRPr="00805F8E" w14:paraId="1F86090C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0A" w14:textId="77777777" w:rsidR="00C37999" w:rsidRPr="00805F8E" w:rsidRDefault="00C37999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>GCC 2.3</w:t>
            </w:r>
            <w:r w:rsidR="007B045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224AAC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A757F" w14:textId="77777777" w:rsidR="00C37999" w:rsidRDefault="00C37999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following documents also form part of the Contract: </w:t>
            </w:r>
          </w:p>
          <w:p w14:paraId="3546F551" w14:textId="77777777" w:rsidR="00E76FD9" w:rsidRPr="003434CE" w:rsidRDefault="00E76FD9" w:rsidP="00E76FD9">
            <w:pPr>
              <w:numPr>
                <w:ilvl w:val="0"/>
                <w:numId w:val="19"/>
              </w:numPr>
              <w:spacing w:before="60" w:after="16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3434CE">
              <w:rPr>
                <w:rFonts w:ascii="Arial" w:hAnsi="Arial"/>
                <w:sz w:val="20"/>
                <w:szCs w:val="20"/>
              </w:rPr>
              <w:t xml:space="preserve">Contract </w:t>
            </w:r>
            <w:r w:rsidRPr="003434CE">
              <w:rPr>
                <w:rFonts w:ascii="Arial" w:hAnsi="Arial" w:cs="Arial"/>
                <w:sz w:val="20"/>
                <w:szCs w:val="20"/>
              </w:rPr>
              <w:t>Clarification issued by Employer to the bidders,</w:t>
            </w:r>
          </w:p>
          <w:p w14:paraId="7E3DFB7D" w14:textId="77777777" w:rsidR="00E76FD9" w:rsidRPr="003434CE" w:rsidRDefault="00E76FD9" w:rsidP="00E76FD9">
            <w:pPr>
              <w:numPr>
                <w:ilvl w:val="0"/>
                <w:numId w:val="19"/>
              </w:numPr>
              <w:spacing w:before="60" w:after="16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3434CE">
              <w:rPr>
                <w:rFonts w:ascii="Arial" w:hAnsi="Arial" w:cs="Arial"/>
                <w:sz w:val="20"/>
                <w:szCs w:val="20"/>
              </w:rPr>
              <w:t>Supplementary information submitted as part of Section 6 of the Bidding Documents,</w:t>
            </w:r>
          </w:p>
          <w:p w14:paraId="2AE5ED29" w14:textId="77777777" w:rsidR="00E76FD9" w:rsidRPr="003434CE" w:rsidRDefault="00E76FD9" w:rsidP="00E76FD9">
            <w:pPr>
              <w:numPr>
                <w:ilvl w:val="0"/>
                <w:numId w:val="19"/>
              </w:numPr>
              <w:spacing w:before="60" w:after="160"/>
              <w:ind w:right="-72"/>
              <w:rPr>
                <w:rFonts w:ascii="Arial" w:hAnsi="Arial" w:cs="Arial"/>
                <w:i/>
                <w:sz w:val="20"/>
                <w:szCs w:val="20"/>
              </w:rPr>
            </w:pPr>
            <w:r w:rsidRPr="003434CE">
              <w:rPr>
                <w:rFonts w:ascii="Arial" w:hAnsi="Arial" w:cs="Arial"/>
                <w:sz w:val="20"/>
                <w:szCs w:val="20"/>
              </w:rPr>
              <w:t>Any Bid Addenda issued by the Employer to the bidders,</w:t>
            </w:r>
          </w:p>
          <w:p w14:paraId="51C81662" w14:textId="77777777" w:rsidR="00E76FD9" w:rsidRPr="003434CE" w:rsidRDefault="00E76FD9" w:rsidP="00E76FD9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4CE">
              <w:rPr>
                <w:rFonts w:ascii="Arial" w:hAnsi="Arial" w:cs="Arial"/>
                <w:sz w:val="20"/>
                <w:szCs w:val="20"/>
              </w:rPr>
              <w:t>Environmental Health and Safety Management Plan (EHSMP)</w:t>
            </w:r>
          </w:p>
          <w:p w14:paraId="040F9B4D" w14:textId="77777777" w:rsidR="00E76FD9" w:rsidRPr="003434CE" w:rsidRDefault="00E76FD9" w:rsidP="00E76FD9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C58973" w14:textId="77777777" w:rsidR="00E76FD9" w:rsidRPr="003434CE" w:rsidRDefault="00E76FD9" w:rsidP="00E76FD9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4CE">
              <w:rPr>
                <w:rFonts w:ascii="Arial" w:hAnsi="Arial" w:cs="Arial"/>
                <w:sz w:val="20"/>
                <w:szCs w:val="20"/>
              </w:rPr>
              <w:t>Initial Environmental Examination (IEE) report.</w:t>
            </w:r>
          </w:p>
          <w:p w14:paraId="6636EE9F" w14:textId="77777777" w:rsidR="00E76FD9" w:rsidRPr="003434CE" w:rsidRDefault="00E76FD9" w:rsidP="00E76FD9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646D2E8A" w14:textId="77777777" w:rsidR="00E76FD9" w:rsidRPr="003434CE" w:rsidRDefault="00E76FD9" w:rsidP="00E76FD9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4CE">
              <w:rPr>
                <w:rFonts w:ascii="Arial" w:hAnsi="Arial" w:cs="Arial"/>
                <w:sz w:val="20"/>
                <w:szCs w:val="20"/>
              </w:rPr>
              <w:t>Detail design and drawings</w:t>
            </w:r>
          </w:p>
          <w:p w14:paraId="4B9F49BC" w14:textId="77777777" w:rsidR="00E76FD9" w:rsidRDefault="00E76FD9" w:rsidP="00E76FD9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DC96D3" w14:textId="77777777" w:rsidR="00E76FD9" w:rsidRPr="000C05A3" w:rsidRDefault="00E76FD9" w:rsidP="00E76FD9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Bill of quantities and </w:t>
            </w:r>
            <w:r w:rsidRPr="00952733">
              <w:rPr>
                <w:rFonts w:ascii="Arial" w:hAnsi="Arial"/>
                <w:sz w:val="20"/>
                <w:szCs w:val="20"/>
              </w:rPr>
              <w:t xml:space="preserve">any other document </w:t>
            </w:r>
            <w:r w:rsidRPr="00EA5F22">
              <w:rPr>
                <w:rFonts w:ascii="Arial" w:hAnsi="Arial"/>
                <w:sz w:val="20"/>
                <w:szCs w:val="20"/>
              </w:rPr>
              <w:t>listed in the</w:t>
            </w:r>
            <w:r w:rsidRPr="00952733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0A1D7B">
              <w:rPr>
                <w:rFonts w:ascii="Arial" w:hAnsi="Arial"/>
                <w:b/>
                <w:sz w:val="20"/>
                <w:szCs w:val="20"/>
              </w:rPr>
              <w:t>PCC</w:t>
            </w:r>
            <w:r w:rsidRPr="00952733">
              <w:rPr>
                <w:rFonts w:ascii="Arial" w:hAnsi="Arial"/>
                <w:sz w:val="20"/>
                <w:szCs w:val="20"/>
              </w:rPr>
              <w:t xml:space="preserve"> as forming part of the Contract.</w:t>
            </w:r>
          </w:p>
          <w:p w14:paraId="1F86090B" w14:textId="59522CF3" w:rsidR="00E17103" w:rsidRPr="00805F8E" w:rsidRDefault="00E17103" w:rsidP="000B193D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7999" w:rsidRPr="00805F8E" w14:paraId="1F860911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0D" w14:textId="77777777" w:rsidR="00C37999" w:rsidRPr="00805F8E" w:rsidRDefault="00C37999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3.1 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0E" w14:textId="64D968AA" w:rsidR="00C37999" w:rsidRDefault="00C37999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language of the contract is </w:t>
            </w:r>
            <w:r w:rsidR="00E17103">
              <w:rPr>
                <w:rFonts w:ascii="Arial" w:hAnsi="Arial" w:cs="Arial"/>
                <w:sz w:val="20"/>
                <w:szCs w:val="20"/>
              </w:rPr>
              <w:t>English</w:t>
            </w:r>
          </w:p>
          <w:p w14:paraId="1F86090F" w14:textId="77777777" w:rsidR="00C064FA" w:rsidRPr="00C064FA" w:rsidRDefault="00C064FA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</w:p>
          <w:p w14:paraId="1F860910" w14:textId="25AB4E8B" w:rsidR="00C37999" w:rsidRPr="00C064FA" w:rsidRDefault="00C37999" w:rsidP="00E17103">
            <w:pPr>
              <w:tabs>
                <w:tab w:val="left" w:pos="556"/>
              </w:tabs>
              <w:spacing w:before="120" w:after="120"/>
              <w:ind w:left="556" w:right="-72" w:hanging="556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law that applies to the Contract is the law of </w:t>
            </w:r>
            <w:r w:rsidR="00E17103" w:rsidRPr="00E17103">
              <w:rPr>
                <w:rFonts w:ascii="Arial" w:hAnsi="Arial" w:cs="Arial"/>
                <w:sz w:val="20"/>
                <w:szCs w:val="20"/>
              </w:rPr>
              <w:t>Republic of Maldives</w:t>
            </w:r>
          </w:p>
        </w:tc>
      </w:tr>
      <w:tr w:rsidR="00806B45" w:rsidRPr="00805F8E" w14:paraId="1F860914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12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90447">
              <w:rPr>
                <w:rFonts w:ascii="Arial" w:hAnsi="Arial" w:cs="Arial"/>
                <w:b/>
                <w:sz w:val="20"/>
                <w:szCs w:val="20"/>
              </w:rPr>
              <w:t>GCC 11.1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13" w14:textId="1552C7E9" w:rsidR="00806B45" w:rsidRPr="00805F8E" w:rsidRDefault="00806B45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990447">
              <w:rPr>
                <w:rFonts w:ascii="Arial" w:hAnsi="Arial" w:cs="Arial"/>
                <w:sz w:val="20"/>
                <w:szCs w:val="20"/>
              </w:rPr>
              <w:t xml:space="preserve">The Project Manager </w:t>
            </w:r>
            <w:r w:rsidR="00996926">
              <w:rPr>
                <w:rFonts w:ascii="Arial" w:hAnsi="Arial" w:cs="Arial"/>
                <w:sz w:val="20"/>
                <w:szCs w:val="20"/>
              </w:rPr>
              <w:t>may</w:t>
            </w:r>
            <w:r w:rsidR="00E17103">
              <w:rPr>
                <w:rFonts w:ascii="Arial" w:hAnsi="Arial" w:cs="Arial"/>
                <w:sz w:val="20"/>
                <w:szCs w:val="20"/>
              </w:rPr>
              <w:t>,</w:t>
            </w:r>
            <w:r w:rsidR="00E17103" w:rsidRPr="009904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0447">
              <w:rPr>
                <w:rFonts w:ascii="Arial" w:hAnsi="Arial" w:cs="Arial"/>
                <w:sz w:val="20"/>
                <w:szCs w:val="20"/>
              </w:rPr>
              <w:t>delegate any of his duties and responsibilities.</w:t>
            </w:r>
          </w:p>
        </w:tc>
      </w:tr>
      <w:tr w:rsidR="00806B45" w:rsidRPr="00805F8E" w14:paraId="1F860917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15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16" w14:textId="652B24BC" w:rsidR="00806B45" w:rsidRPr="00606B02" w:rsidRDefault="00806B45" w:rsidP="007518D2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>Schedule of other contractors</w:t>
            </w:r>
            <w:r w:rsidRPr="003434C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76FD9">
              <w:rPr>
                <w:rFonts w:ascii="Arial" w:hAnsi="Arial" w:cs="Arial"/>
                <w:sz w:val="20"/>
                <w:szCs w:val="20"/>
              </w:rPr>
              <w:t xml:space="preserve"> None</w:t>
            </w:r>
          </w:p>
        </w:tc>
      </w:tr>
      <w:tr w:rsidR="00806B45" w:rsidRPr="00805F8E" w14:paraId="1F860920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18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>GCC 1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19" w14:textId="77777777" w:rsidR="00806B45" w:rsidRPr="00805F8E" w:rsidRDefault="00806B45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>The minimum insurance amounts and deductibles shall be:</w:t>
            </w:r>
          </w:p>
          <w:p w14:paraId="1CB21E3E" w14:textId="4FDD728F" w:rsidR="00E76FD9" w:rsidRPr="00E76FD9" w:rsidRDefault="00806B45" w:rsidP="00E76FD9">
            <w:pPr>
              <w:tabs>
                <w:tab w:val="left" w:pos="556"/>
              </w:tabs>
              <w:spacing w:before="120" w:after="120"/>
              <w:ind w:left="556" w:right="-72" w:hanging="540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>(a)</w:t>
            </w:r>
            <w:r w:rsidRPr="00805F8E">
              <w:rPr>
                <w:rFonts w:ascii="Arial" w:hAnsi="Arial" w:cs="Arial"/>
                <w:sz w:val="20"/>
                <w:szCs w:val="20"/>
              </w:rPr>
              <w:tab/>
            </w:r>
            <w:r w:rsidR="00E76FD9" w:rsidRPr="00E76FD9">
              <w:rPr>
                <w:rFonts w:ascii="Arial" w:hAnsi="Arial" w:cs="Arial"/>
                <w:sz w:val="20"/>
                <w:szCs w:val="20"/>
              </w:rPr>
              <w:t xml:space="preserve">for loss or damage to the Works, Plant and Materials: </w:t>
            </w:r>
            <w:r w:rsidR="00E76FD9" w:rsidRPr="00D87A71">
              <w:rPr>
                <w:rFonts w:ascii="Arial" w:hAnsi="Arial" w:cs="Arial"/>
                <w:sz w:val="20"/>
                <w:szCs w:val="20"/>
                <w:lang w:val="en-GB"/>
              </w:rPr>
              <w:t>100% value of the Contract with maximum 25% deductibles.</w:t>
            </w:r>
          </w:p>
          <w:p w14:paraId="783EEAE4" w14:textId="77777777" w:rsidR="00E76FD9" w:rsidRPr="00E76FD9" w:rsidRDefault="00E76FD9" w:rsidP="00E76FD9">
            <w:pPr>
              <w:tabs>
                <w:tab w:val="left" w:pos="556"/>
              </w:tabs>
              <w:spacing w:before="120" w:after="120"/>
              <w:ind w:left="556" w:right="-72" w:hanging="540"/>
              <w:rPr>
                <w:rFonts w:ascii="Arial" w:hAnsi="Arial" w:cs="Arial"/>
                <w:sz w:val="20"/>
                <w:szCs w:val="20"/>
              </w:rPr>
            </w:pPr>
            <w:r w:rsidRPr="00E76FD9">
              <w:rPr>
                <w:rFonts w:ascii="Arial" w:hAnsi="Arial" w:cs="Arial"/>
                <w:sz w:val="20"/>
                <w:szCs w:val="20"/>
              </w:rPr>
              <w:t>(b)</w:t>
            </w:r>
            <w:r w:rsidRPr="00E76FD9">
              <w:rPr>
                <w:rFonts w:ascii="Arial" w:hAnsi="Arial" w:cs="Arial"/>
                <w:sz w:val="20"/>
                <w:szCs w:val="20"/>
              </w:rPr>
              <w:tab/>
              <w:t xml:space="preserve">for loss or damage to Equipment: </w:t>
            </w:r>
            <w:r w:rsidRPr="00D87A71">
              <w:rPr>
                <w:rFonts w:ascii="Arial" w:hAnsi="Arial" w:cs="Arial"/>
                <w:sz w:val="20"/>
                <w:szCs w:val="20"/>
                <w:lang w:val="en-GB"/>
              </w:rPr>
              <w:t>100% value of the Contract with maximum 25% deductibles.</w:t>
            </w:r>
          </w:p>
          <w:p w14:paraId="20C619C7" w14:textId="77777777" w:rsidR="00E76FD9" w:rsidRPr="00E76FD9" w:rsidRDefault="00E76FD9" w:rsidP="00E76FD9">
            <w:pPr>
              <w:tabs>
                <w:tab w:val="left" w:pos="556"/>
              </w:tabs>
              <w:spacing w:before="120" w:after="120"/>
              <w:ind w:left="556" w:right="-72" w:hanging="540"/>
              <w:rPr>
                <w:rFonts w:ascii="Arial" w:hAnsi="Arial" w:cs="Arial"/>
                <w:sz w:val="20"/>
                <w:szCs w:val="20"/>
              </w:rPr>
            </w:pPr>
            <w:r w:rsidRPr="00E76FD9">
              <w:rPr>
                <w:rFonts w:ascii="Arial" w:hAnsi="Arial" w:cs="Arial"/>
                <w:sz w:val="20"/>
                <w:szCs w:val="20"/>
              </w:rPr>
              <w:t>(c)</w:t>
            </w:r>
            <w:r w:rsidRPr="00E76FD9">
              <w:rPr>
                <w:rFonts w:ascii="Arial" w:hAnsi="Arial" w:cs="Arial"/>
                <w:sz w:val="20"/>
                <w:szCs w:val="20"/>
              </w:rPr>
              <w:tab/>
              <w:t>for loss or damage to property (except the Works, Plant, Materials, and Equipment) in connection with Contract 100%</w:t>
            </w:r>
          </w:p>
          <w:p w14:paraId="6AD79EF6" w14:textId="77777777" w:rsidR="00E76FD9" w:rsidRPr="00E76FD9" w:rsidRDefault="00E76FD9" w:rsidP="00E76FD9">
            <w:pPr>
              <w:tabs>
                <w:tab w:val="left" w:pos="556"/>
              </w:tabs>
              <w:spacing w:before="120" w:after="120"/>
              <w:ind w:left="556" w:right="-72" w:hanging="540"/>
              <w:rPr>
                <w:rFonts w:ascii="Arial" w:hAnsi="Arial" w:cs="Arial"/>
                <w:sz w:val="20"/>
                <w:szCs w:val="20"/>
              </w:rPr>
            </w:pPr>
            <w:r w:rsidRPr="00E76FD9">
              <w:rPr>
                <w:rFonts w:ascii="Arial" w:hAnsi="Arial" w:cs="Arial"/>
                <w:sz w:val="20"/>
                <w:szCs w:val="20"/>
              </w:rPr>
              <w:t>(d)</w:t>
            </w:r>
            <w:r w:rsidRPr="00E76FD9">
              <w:rPr>
                <w:rFonts w:ascii="Arial" w:hAnsi="Arial" w:cs="Arial"/>
                <w:sz w:val="20"/>
                <w:szCs w:val="20"/>
              </w:rPr>
              <w:tab/>
              <w:t xml:space="preserve">for personal injury or death: </w:t>
            </w:r>
          </w:p>
          <w:p w14:paraId="6CFA41FE" w14:textId="77777777" w:rsidR="00E76FD9" w:rsidRPr="00E76FD9" w:rsidRDefault="00E76FD9" w:rsidP="00E76FD9">
            <w:pPr>
              <w:numPr>
                <w:ilvl w:val="3"/>
                <w:numId w:val="16"/>
              </w:numPr>
              <w:tabs>
                <w:tab w:val="left" w:pos="1096"/>
                <w:tab w:val="right" w:pos="7254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left="1096" w:hanging="54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76FD9">
              <w:rPr>
                <w:rFonts w:ascii="Arial" w:hAnsi="Arial" w:cs="Arial"/>
                <w:sz w:val="20"/>
                <w:szCs w:val="20"/>
              </w:rPr>
              <w:t xml:space="preserve">of the Contractor’s employees: </w:t>
            </w:r>
            <w:r w:rsidRPr="00D87A71">
              <w:rPr>
                <w:rFonts w:ascii="Arial" w:hAnsi="Arial" w:cs="Arial"/>
                <w:sz w:val="20"/>
                <w:szCs w:val="20"/>
              </w:rPr>
              <w:t>MVR</w:t>
            </w:r>
            <w:r w:rsidRPr="00E76F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7A71">
              <w:rPr>
                <w:rFonts w:ascii="Arial" w:hAnsi="Arial" w:cs="Arial"/>
                <w:sz w:val="20"/>
                <w:szCs w:val="20"/>
                <w:lang w:val="en-GB"/>
              </w:rPr>
              <w:t>1 million per occurrence without limitation to the number of occurrences per year, with 25% maximum deductibles.</w:t>
            </w:r>
          </w:p>
          <w:p w14:paraId="1F86091F" w14:textId="57C2AC93" w:rsidR="00E76FD9" w:rsidRPr="00805F8E" w:rsidRDefault="00E76FD9" w:rsidP="000B193D">
            <w:pPr>
              <w:tabs>
                <w:tab w:val="left" w:pos="556"/>
              </w:tabs>
              <w:spacing w:before="120" w:after="120"/>
              <w:ind w:left="556" w:right="-72" w:hanging="540"/>
              <w:rPr>
                <w:rFonts w:ascii="Arial" w:hAnsi="Arial" w:cs="Arial"/>
                <w:sz w:val="20"/>
                <w:szCs w:val="20"/>
              </w:rPr>
            </w:pPr>
            <w:r w:rsidRPr="00E76FD9">
              <w:rPr>
                <w:rFonts w:ascii="Arial" w:hAnsi="Arial" w:cs="Arial"/>
                <w:sz w:val="20"/>
                <w:szCs w:val="20"/>
              </w:rPr>
              <w:t xml:space="preserve">of other people: MVR </w:t>
            </w:r>
            <w:r w:rsidRPr="00D87A71">
              <w:rPr>
                <w:rFonts w:ascii="Arial" w:hAnsi="Arial" w:cs="Arial"/>
                <w:sz w:val="20"/>
                <w:szCs w:val="20"/>
                <w:lang w:val="en-GB"/>
              </w:rPr>
              <w:t>1 million per occurrence without limitation to the number of occurrences per year, with 25% maximum deductibles</w:t>
            </w:r>
          </w:p>
        </w:tc>
      </w:tr>
      <w:tr w:rsidR="00806B45" w:rsidRPr="00805F8E" w14:paraId="1F860923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1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D45D80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2" w14:textId="5118617E" w:rsidR="00806B45" w:rsidRPr="00E97281" w:rsidRDefault="00806B45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>Site Investigation Reports are</w:t>
            </w:r>
            <w:r w:rsidR="003434C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76FD9">
              <w:rPr>
                <w:rFonts w:ascii="Arial" w:hAnsi="Arial" w:cs="Arial"/>
                <w:sz w:val="20"/>
                <w:szCs w:val="20"/>
              </w:rPr>
              <w:t xml:space="preserve"> None</w:t>
            </w:r>
          </w:p>
        </w:tc>
      </w:tr>
      <w:tr w:rsidR="00806B45" w:rsidRPr="00805F8E" w14:paraId="1F860926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4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D45D80"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5" w14:textId="0EA5757D" w:rsidR="00806B45" w:rsidRPr="00175A22" w:rsidRDefault="00806B45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following shall be designed by the Contractor:</w:t>
            </w:r>
            <w:r w:rsidRPr="00805F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6FD9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806B45" w:rsidRPr="00805F8E" w14:paraId="1F860929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7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>GCC 2</w:t>
            </w:r>
            <w:r w:rsidR="00D45D80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8" w14:textId="714A569F" w:rsidR="00806B45" w:rsidRPr="00A0404D" w:rsidRDefault="00806B45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Site Possession Date(s) shall be: </w:t>
            </w:r>
            <w:r w:rsidR="003434CE" w:rsidRPr="00D553BB">
              <w:rPr>
                <w:rFonts w:ascii="Arial" w:hAnsi="Arial" w:cs="Arial"/>
                <w:b/>
                <w:bCs/>
                <w:sz w:val="20"/>
                <w:szCs w:val="20"/>
              </w:rPr>
              <w:t>07 Days</w:t>
            </w:r>
            <w:r w:rsidR="003434CE" w:rsidRPr="00D553BB">
              <w:rPr>
                <w:rFonts w:ascii="Arial" w:hAnsi="Arial" w:cs="Arial"/>
                <w:sz w:val="20"/>
                <w:szCs w:val="20"/>
              </w:rPr>
              <w:t xml:space="preserve"> from the date of issue of the Letter of Acceptance by the Employer</w:t>
            </w:r>
          </w:p>
        </w:tc>
      </w:tr>
      <w:tr w:rsidR="00806B45" w:rsidRPr="00805F8E" w14:paraId="1F86092C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A" w14:textId="77777777" w:rsidR="00806B45" w:rsidRPr="00616AEC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B193D">
              <w:rPr>
                <w:rFonts w:ascii="Arial" w:hAnsi="Arial" w:cs="Arial"/>
                <w:b/>
                <w:sz w:val="20"/>
                <w:szCs w:val="20"/>
              </w:rPr>
              <w:lastRenderedPageBreak/>
              <w:t>GCC 2</w:t>
            </w:r>
            <w:r w:rsidR="00D45D80" w:rsidRPr="000B193D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0B193D"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Pr="00616A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B" w14:textId="77777777" w:rsidR="00806B45" w:rsidRPr="00A0404D" w:rsidRDefault="00806B45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616AEC">
              <w:rPr>
                <w:rFonts w:ascii="Arial" w:hAnsi="Arial" w:cs="Arial"/>
                <w:sz w:val="20"/>
                <w:szCs w:val="20"/>
              </w:rPr>
              <w:t xml:space="preserve">Appointing Authority for the Adjudicator: </w:t>
            </w:r>
            <w:r w:rsidR="00A0404D">
              <w:rPr>
                <w:rFonts w:ascii="Arial" w:hAnsi="Arial" w:cs="Arial"/>
                <w:sz w:val="20"/>
                <w:szCs w:val="20"/>
              </w:rPr>
              <w:t>___________________________________</w:t>
            </w:r>
          </w:p>
        </w:tc>
      </w:tr>
      <w:tr w:rsidR="00806B45" w:rsidRPr="00805F8E" w14:paraId="1F860930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D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D45D80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2F" w14:textId="48F01C0E" w:rsidR="00806B45" w:rsidRPr="008C6F86" w:rsidRDefault="003434CE" w:rsidP="007518D2">
            <w:pPr>
              <w:spacing w:before="120" w:after="120"/>
              <w:ind w:right="-72"/>
              <w:rPr>
                <w:rFonts w:ascii="Arial" w:hAnsi="Arial" w:cs="Arial"/>
                <w:sz w:val="20"/>
                <w:szCs w:val="20"/>
              </w:rPr>
            </w:pPr>
            <w:r w:rsidRPr="00F948B9">
              <w:rPr>
                <w:rFonts w:ascii="Arial" w:hAnsi="Arial" w:cs="Arial"/>
                <w:sz w:val="20"/>
                <w:szCs w:val="20"/>
              </w:rPr>
              <w:t>The Adjudicator shall be paid as proposed and agreed between parties and on a particular dispute.</w:t>
            </w:r>
          </w:p>
        </w:tc>
      </w:tr>
      <w:tr w:rsidR="00806B45" w:rsidRPr="00805F8E" w14:paraId="1F86093C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31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D45D80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32" w14:textId="77777777" w:rsidR="00806B45" w:rsidRPr="00481FBA" w:rsidRDefault="00806B45" w:rsidP="007518D2">
            <w:pPr>
              <w:spacing w:before="120" w:after="120"/>
              <w:ind w:right="92"/>
              <w:rPr>
                <w:rFonts w:ascii="Comic Sans MS" w:hAnsi="Comic Sans MS" w:cs="Arial"/>
                <w:i/>
                <w:sz w:val="16"/>
                <w:szCs w:val="16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Institution whose arbitration procedures shall be used: </w:t>
            </w:r>
            <w:r w:rsidR="00D07EBC" w:rsidRPr="00990447">
              <w:rPr>
                <w:rFonts w:ascii="Comic Sans MS" w:hAnsi="Comic Sans MS" w:cs="Arial"/>
                <w:i/>
                <w:sz w:val="16"/>
                <w:szCs w:val="16"/>
              </w:rPr>
              <w:t>[select from below]</w:t>
            </w:r>
          </w:p>
          <w:p w14:paraId="7FCD1198" w14:textId="77777777" w:rsidR="00E76FD9" w:rsidRDefault="00E76FD9" w:rsidP="00E76FD9">
            <w:pPr>
              <w:spacing w:before="120" w:after="120"/>
              <w:ind w:left="376" w:hanging="360"/>
              <w:jc w:val="both"/>
              <w:rPr>
                <w:rFonts w:ascii="Arial" w:hAnsi="Arial" w:cs="Arial"/>
                <w:bCs/>
                <w:sz w:val="20"/>
              </w:rPr>
            </w:pPr>
          </w:p>
          <w:p w14:paraId="7928E163" w14:textId="77777777" w:rsidR="00E76FD9" w:rsidRDefault="00E76FD9" w:rsidP="00E76FD9">
            <w:pPr>
              <w:spacing w:before="120" w:after="120"/>
              <w:ind w:left="376" w:hanging="36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1A770B">
              <w:rPr>
                <w:rFonts w:ascii="Arial" w:hAnsi="Arial" w:cs="Arial"/>
                <w:bCs/>
                <w:sz w:val="20"/>
              </w:rPr>
              <w:t>(a)</w:t>
            </w:r>
            <w:r w:rsidRPr="001A770B">
              <w:rPr>
                <w:rFonts w:ascii="Arial" w:hAnsi="Arial" w:cs="Arial"/>
                <w:bCs/>
                <w:sz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Contracts with foreign contractors: </w:t>
            </w:r>
          </w:p>
          <w:p w14:paraId="305B85D5" w14:textId="77777777" w:rsidR="00E76FD9" w:rsidRDefault="00E76FD9" w:rsidP="00E76FD9">
            <w:pPr>
              <w:spacing w:before="120" w:after="120"/>
              <w:ind w:left="376" w:right="9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14BFC">
              <w:rPr>
                <w:rFonts w:ascii="Arial" w:hAnsi="Arial" w:cs="Arial"/>
                <w:color w:val="000000"/>
                <w:sz w:val="20"/>
                <w:szCs w:val="20"/>
              </w:rPr>
              <w:t>International arbitration shall be conducted in accordance with the rules of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C05A3">
              <w:rPr>
                <w:rFonts w:ascii="Arial" w:hAnsi="Arial" w:cs="Arial"/>
                <w:color w:val="000000"/>
                <w:sz w:val="20"/>
                <w:szCs w:val="20"/>
              </w:rPr>
              <w:t>Singapore International Arbitration Centre (SIAC)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422A0163" w14:textId="77777777" w:rsidR="00E76FD9" w:rsidRDefault="00E76FD9" w:rsidP="00E76FD9">
            <w:pPr>
              <w:spacing w:before="120" w:after="120"/>
              <w:ind w:left="376" w:right="9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8417F7" w14:textId="77777777" w:rsidR="00E76FD9" w:rsidRPr="000C05A3" w:rsidRDefault="00E76FD9" w:rsidP="00E76FD9">
            <w:pPr>
              <w:spacing w:before="120" w:after="120"/>
              <w:ind w:left="376" w:right="92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05A3">
              <w:rPr>
                <w:rFonts w:ascii="Arial" w:hAnsi="Arial" w:cs="Arial"/>
                <w:color w:val="000000"/>
                <w:sz w:val="20"/>
                <w:szCs w:val="20"/>
              </w:rPr>
              <w:t>Arbitration shall be administered by SIAC.</w:t>
            </w:r>
          </w:p>
          <w:p w14:paraId="4698593D" w14:textId="77777777" w:rsidR="00E76FD9" w:rsidRPr="000C05A3" w:rsidRDefault="00E76FD9" w:rsidP="00E76FD9">
            <w:pPr>
              <w:spacing w:before="120" w:after="120"/>
              <w:ind w:left="376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5A3">
              <w:rPr>
                <w:rFonts w:ascii="Arial" w:hAnsi="Arial" w:cs="Arial"/>
                <w:sz w:val="20"/>
                <w:szCs w:val="20"/>
              </w:rPr>
              <w:t xml:space="preserve">The place of arbitration shall be: the place of the institution administering the arbitration. </w:t>
            </w:r>
          </w:p>
          <w:p w14:paraId="5DA45253" w14:textId="77777777" w:rsidR="00E76FD9" w:rsidRDefault="00E76FD9" w:rsidP="00E76FD9">
            <w:pPr>
              <w:spacing w:before="120" w:after="120"/>
              <w:ind w:left="376"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F719D7" w14:textId="77777777" w:rsidR="00E76FD9" w:rsidRDefault="00E76FD9" w:rsidP="00E76FD9">
            <w:pPr>
              <w:spacing w:before="120" w:after="120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(b)  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Contracts with domestic contractors: </w:t>
            </w:r>
          </w:p>
          <w:p w14:paraId="39A6FEDC" w14:textId="77777777" w:rsidR="00E76FD9" w:rsidRDefault="00E76FD9" w:rsidP="00E76FD9">
            <w:pPr>
              <w:spacing w:before="120" w:after="120"/>
              <w:ind w:left="376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18D2">
              <w:rPr>
                <w:rFonts w:ascii="Arial" w:hAnsi="Arial" w:cs="Arial"/>
                <w:color w:val="000000"/>
                <w:sz w:val="20"/>
                <w:szCs w:val="20"/>
              </w:rPr>
              <w:t>Arbitration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shall be conducted in accordance with the laws of the Employer's country.</w:t>
            </w:r>
          </w:p>
          <w:p w14:paraId="1F86093B" w14:textId="77777777" w:rsidR="004B3510" w:rsidRPr="00D240B7" w:rsidRDefault="004B3510" w:rsidP="00E76FD9">
            <w:pPr>
              <w:spacing w:before="120" w:after="120"/>
              <w:ind w:left="376" w:right="9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330F1" w:rsidRPr="00805F8E" w14:paraId="6D43F62D" w14:textId="77777777" w:rsidTr="00C12A95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C1FF5" w14:textId="39EC2924" w:rsidR="00D330F1" w:rsidRPr="00805F8E" w:rsidRDefault="00D330F1" w:rsidP="00D330F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GCC 34.2</w:t>
            </w:r>
          </w:p>
        </w:tc>
        <w:tc>
          <w:tcPr>
            <w:tcW w:w="7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2E09" w14:textId="77777777" w:rsidR="00D330F1" w:rsidRDefault="00D330F1" w:rsidP="00D330F1">
            <w:pPr>
              <w:spacing w:before="120" w:after="120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0884">
              <w:rPr>
                <w:rFonts w:ascii="Arial" w:hAnsi="Arial" w:cs="Arial"/>
                <w:sz w:val="20"/>
                <w:szCs w:val="20"/>
              </w:rPr>
              <w:t>The following sentence shall apply:</w:t>
            </w:r>
          </w:p>
          <w:p w14:paraId="1339DA0D" w14:textId="77777777" w:rsidR="00D330F1" w:rsidRDefault="00D330F1" w:rsidP="00D330F1">
            <w:pPr>
              <w:spacing w:before="120" w:after="120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6EE2D7" w14:textId="77777777" w:rsidR="00D330F1" w:rsidRPr="00930884" w:rsidRDefault="00D330F1" w:rsidP="00D330F1">
            <w:pPr>
              <w:spacing w:before="120" w:after="120"/>
              <w:ind w:right="9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30884">
              <w:rPr>
                <w:rFonts w:ascii="Arial" w:hAnsi="Arial" w:cs="Arial"/>
                <w:b/>
                <w:sz w:val="20"/>
                <w:szCs w:val="20"/>
              </w:rPr>
              <w:t>Respectful Work Environment</w:t>
            </w:r>
          </w:p>
          <w:p w14:paraId="4F95B064" w14:textId="4FCE4E5A" w:rsidR="00D330F1" w:rsidRDefault="00D330F1" w:rsidP="00D330F1">
            <w:pPr>
              <w:spacing w:before="120" w:after="120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0884">
              <w:rPr>
                <w:rFonts w:ascii="Arial" w:hAnsi="Arial" w:cs="Arial"/>
                <w:sz w:val="20"/>
                <w:szCs w:val="20"/>
              </w:rPr>
              <w:t xml:space="preserve">The Contractor shall ensure that its employees and </w:t>
            </w:r>
            <w:r w:rsidR="00EE26C0">
              <w:rPr>
                <w:rFonts w:ascii="Arial" w:hAnsi="Arial" w:cs="Arial"/>
                <w:sz w:val="20"/>
                <w:szCs w:val="20"/>
              </w:rPr>
              <w:t>S</w:t>
            </w:r>
            <w:r w:rsidRPr="00930884">
              <w:rPr>
                <w:rFonts w:ascii="Arial" w:hAnsi="Arial" w:cs="Arial"/>
                <w:sz w:val="20"/>
                <w:szCs w:val="20"/>
              </w:rPr>
              <w:t xml:space="preserve">ubcontractors observe the highest ethical standards and refrain from any form of bullying, discrimination, misconduct and harassment, including sexual harassment and shall, at all times, behave in a manner that creates an environment free of unethical behavior, bullying, misconduct and harassment, including sexual harassment. The Contractor shall take appropriate action against any employees or </w:t>
            </w:r>
            <w:r w:rsidR="00881051">
              <w:rPr>
                <w:rFonts w:ascii="Arial" w:hAnsi="Arial" w:cs="Arial"/>
                <w:sz w:val="20"/>
                <w:szCs w:val="20"/>
              </w:rPr>
              <w:t>S</w:t>
            </w:r>
            <w:r w:rsidRPr="00930884">
              <w:rPr>
                <w:rFonts w:ascii="Arial" w:hAnsi="Arial" w:cs="Arial"/>
                <w:sz w:val="20"/>
                <w:szCs w:val="20"/>
              </w:rPr>
              <w:t>ubcontractors, including suspension or termination of employment or sub-contract, if any form of unethical or inappropriate behavior is identified.</w:t>
            </w:r>
          </w:p>
          <w:p w14:paraId="7A8628D8" w14:textId="77777777" w:rsidR="00D330F1" w:rsidRPr="00930884" w:rsidRDefault="00D330F1" w:rsidP="00D330F1">
            <w:pPr>
              <w:spacing w:before="120" w:after="120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60B86C" w14:textId="77777777" w:rsidR="00D330F1" w:rsidRDefault="00D330F1" w:rsidP="00EA1247">
            <w:pPr>
              <w:spacing w:before="120" w:after="120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0884">
              <w:rPr>
                <w:rFonts w:ascii="Arial" w:hAnsi="Arial" w:cs="Arial"/>
                <w:sz w:val="20"/>
                <w:szCs w:val="20"/>
              </w:rPr>
              <w:t xml:space="preserve">The Contractor shall conduct training programs for its employees and </w:t>
            </w:r>
            <w:r w:rsidR="00881051">
              <w:rPr>
                <w:rFonts w:ascii="Arial" w:hAnsi="Arial" w:cs="Arial"/>
                <w:sz w:val="20"/>
                <w:szCs w:val="20"/>
              </w:rPr>
              <w:t>S</w:t>
            </w:r>
            <w:r w:rsidRPr="00930884">
              <w:rPr>
                <w:rFonts w:ascii="Arial" w:hAnsi="Arial" w:cs="Arial"/>
                <w:sz w:val="20"/>
                <w:szCs w:val="20"/>
              </w:rPr>
              <w:t xml:space="preserve">ubcontractors to raise awareness on and prevent any form of bullying, discrimination, misconduct and harassment including sexual harassment, and to promote a respectful work environment. The Contractor shall keep an up to date record of its employees and </w:t>
            </w:r>
            <w:r w:rsidR="00881051">
              <w:rPr>
                <w:rFonts w:ascii="Arial" w:hAnsi="Arial" w:cs="Arial"/>
                <w:sz w:val="20"/>
                <w:szCs w:val="20"/>
              </w:rPr>
              <w:t>S</w:t>
            </w:r>
            <w:r w:rsidRPr="00930884">
              <w:rPr>
                <w:rFonts w:ascii="Arial" w:hAnsi="Arial" w:cs="Arial"/>
                <w:sz w:val="20"/>
                <w:szCs w:val="20"/>
              </w:rPr>
              <w:t>ubcontractors who have attended and completed such training programs and provide such records to the Employer or the Engineer at their first written request.</w:t>
            </w:r>
          </w:p>
          <w:p w14:paraId="2332C1DD" w14:textId="6AF3D90D" w:rsidR="004B3510" w:rsidRPr="00805F8E" w:rsidRDefault="004B3510" w:rsidP="00EA1247">
            <w:pPr>
              <w:spacing w:before="120" w:after="120"/>
              <w:ind w:right="9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32AFD" w14:textId="77777777" w:rsidR="00930884" w:rsidRPr="00930884" w:rsidRDefault="00930884" w:rsidP="00930884">
      <w:pPr>
        <w:tabs>
          <w:tab w:val="left" w:pos="1548"/>
        </w:tabs>
        <w:spacing w:before="120" w:after="120"/>
        <w:ind w:right="9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tbl>
      <w:tblPr>
        <w:tblW w:w="92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4"/>
        <w:gridCol w:w="7614"/>
      </w:tblGrid>
      <w:tr w:rsidR="00806B45" w:rsidRPr="00805F8E" w14:paraId="1F86093E" w14:textId="77777777">
        <w:trPr>
          <w:cantSplit/>
        </w:trPr>
        <w:tc>
          <w:tcPr>
            <w:tcW w:w="9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3D" w14:textId="77777777" w:rsidR="00806B45" w:rsidRPr="00820444" w:rsidRDefault="0022627B" w:rsidP="00820444">
            <w:pPr>
              <w:tabs>
                <w:tab w:val="left" w:pos="556"/>
              </w:tabs>
              <w:spacing w:before="120" w:after="120"/>
              <w:ind w:left="562" w:right="-72" w:hanging="562"/>
              <w:rPr>
                <w:rFonts w:ascii="Arial" w:hAnsi="Arial" w:cs="Arial"/>
                <w:b/>
              </w:rPr>
            </w:pPr>
            <w:r w:rsidRPr="00820444">
              <w:rPr>
                <w:rFonts w:ascii="Arial" w:hAnsi="Arial" w:cs="Arial"/>
                <w:b/>
              </w:rPr>
              <w:t>C</w:t>
            </w:r>
            <w:r w:rsidR="00806B45" w:rsidRPr="00820444">
              <w:rPr>
                <w:rFonts w:ascii="Arial" w:hAnsi="Arial" w:cs="Arial"/>
                <w:b/>
              </w:rPr>
              <w:t>. Time Control</w:t>
            </w:r>
          </w:p>
        </w:tc>
      </w:tr>
      <w:tr w:rsidR="00806B45" w:rsidRPr="00805F8E" w14:paraId="1F860941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3F" w14:textId="77777777" w:rsidR="00806B45" w:rsidRPr="00D03FE6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3FE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GCC </w:t>
            </w:r>
            <w:r w:rsidR="00F96299" w:rsidRPr="00D03FE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03FE6">
              <w:rPr>
                <w:rFonts w:ascii="Arial" w:hAnsi="Arial" w:cs="Arial"/>
                <w:b/>
                <w:sz w:val="20"/>
                <w:szCs w:val="20"/>
              </w:rPr>
              <w:t>5.1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40" w14:textId="385D9FA0" w:rsidR="00806B45" w:rsidRPr="00E76FD9" w:rsidRDefault="00806B45" w:rsidP="007518D2">
            <w:pPr>
              <w:spacing w:before="120" w:after="120"/>
              <w:ind w:right="92"/>
              <w:rPr>
                <w:rFonts w:ascii="Arial" w:hAnsi="Arial" w:cs="Arial"/>
                <w:sz w:val="20"/>
                <w:szCs w:val="20"/>
              </w:rPr>
            </w:pPr>
            <w:r w:rsidRPr="00E76FD9">
              <w:rPr>
                <w:rFonts w:ascii="Arial" w:hAnsi="Arial" w:cs="Arial"/>
                <w:sz w:val="20"/>
                <w:szCs w:val="20"/>
              </w:rPr>
              <w:t xml:space="preserve">The Contractor shall submit for approval a Program for the Works within </w:t>
            </w:r>
            <w:r w:rsidR="0013537E" w:rsidRPr="000B193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0" allowOverlap="1" wp14:anchorId="1F86097A" wp14:editId="1F86097B">
                      <wp:simplePos x="0" y="0"/>
                      <wp:positionH relativeFrom="margin">
                        <wp:posOffset>4198620</wp:posOffset>
                      </wp:positionH>
                      <wp:positionV relativeFrom="page">
                        <wp:posOffset>914400</wp:posOffset>
                      </wp:positionV>
                      <wp:extent cx="1289050" cy="6350"/>
                      <wp:effectExtent l="0" t="0" r="0" b="3175"/>
                      <wp:wrapNone/>
                      <wp:docPr id="7" name="Rectangle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905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06B53" id="Rectangle 282" o:spid="_x0000_s1026" style="position:absolute;margin-left:330.6pt;margin-top:1in;width:101.5pt;height:.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" o:allowincell="f" fillcolor="black" stroked="f" strokeweight="0">
                      <w10:wrap anchorx="margin" anchory="page"/>
                    </v:rect>
                  </w:pict>
                </mc:Fallback>
              </mc:AlternateContent>
            </w:r>
            <w:r w:rsidR="00E76FD9">
              <w:rPr>
                <w:rFonts w:ascii="Arial" w:hAnsi="Arial" w:cs="Arial"/>
                <w:sz w:val="20"/>
                <w:szCs w:val="20"/>
              </w:rPr>
              <w:t xml:space="preserve"> 14</w:t>
            </w:r>
            <w:r w:rsidRPr="00E76FD9">
              <w:rPr>
                <w:rFonts w:ascii="Arial" w:hAnsi="Arial" w:cs="Arial"/>
                <w:sz w:val="20"/>
                <w:szCs w:val="20"/>
              </w:rPr>
              <w:t xml:space="preserve"> days from the date of the Letter of Acceptance.</w:t>
            </w:r>
          </w:p>
        </w:tc>
      </w:tr>
      <w:tr w:rsidR="00806B45" w:rsidRPr="00805F8E" w14:paraId="1F860945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42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6E0DE4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.3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43" w14:textId="083B62E4" w:rsidR="00806B45" w:rsidRPr="00E76FD9" w:rsidRDefault="00806B45" w:rsidP="007518D2">
            <w:pPr>
              <w:spacing w:before="120" w:after="120"/>
              <w:ind w:right="92"/>
              <w:rPr>
                <w:rFonts w:ascii="Arial" w:hAnsi="Arial" w:cs="Arial"/>
                <w:sz w:val="20"/>
                <w:szCs w:val="20"/>
              </w:rPr>
            </w:pPr>
            <w:r w:rsidRPr="00E76FD9">
              <w:rPr>
                <w:rFonts w:ascii="Arial" w:hAnsi="Arial" w:cs="Arial"/>
                <w:sz w:val="20"/>
                <w:szCs w:val="20"/>
              </w:rPr>
              <w:t xml:space="preserve">The period between Program updates is </w:t>
            </w:r>
            <w:r w:rsidR="00E76FD9">
              <w:rPr>
                <w:rFonts w:ascii="Arial" w:hAnsi="Arial" w:cs="Arial"/>
                <w:sz w:val="20"/>
                <w:szCs w:val="20"/>
              </w:rPr>
              <w:t xml:space="preserve"> 30</w:t>
            </w:r>
            <w:r w:rsidR="00D03FE6" w:rsidRPr="000B19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193D">
              <w:rPr>
                <w:rFonts w:ascii="Arial" w:hAnsi="Arial" w:cs="Arial"/>
                <w:sz w:val="20"/>
                <w:szCs w:val="20"/>
              </w:rPr>
              <w:t>days.</w:t>
            </w:r>
          </w:p>
          <w:p w14:paraId="1F860944" w14:textId="53880854" w:rsidR="00806B45" w:rsidRPr="00E76FD9" w:rsidRDefault="00806B45" w:rsidP="007518D2">
            <w:pPr>
              <w:spacing w:before="120" w:after="120"/>
              <w:ind w:right="92"/>
              <w:rPr>
                <w:rFonts w:ascii="Arial" w:hAnsi="Arial" w:cs="Arial"/>
                <w:sz w:val="20"/>
                <w:szCs w:val="20"/>
              </w:rPr>
            </w:pPr>
            <w:r w:rsidRPr="00E76FD9">
              <w:rPr>
                <w:rFonts w:ascii="Arial" w:hAnsi="Arial" w:cs="Arial"/>
                <w:sz w:val="20"/>
                <w:szCs w:val="20"/>
              </w:rPr>
              <w:t xml:space="preserve">The amount to be withheld for late submission of an updated Program is </w:t>
            </w:r>
            <w:r w:rsidR="0013537E" w:rsidRPr="000B193D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0" allowOverlap="1" wp14:anchorId="1F86097C" wp14:editId="1F86097D">
                      <wp:simplePos x="0" y="0"/>
                      <wp:positionH relativeFrom="margin">
                        <wp:posOffset>4445635</wp:posOffset>
                      </wp:positionH>
                      <wp:positionV relativeFrom="page">
                        <wp:posOffset>914400</wp:posOffset>
                      </wp:positionV>
                      <wp:extent cx="1042670" cy="6350"/>
                      <wp:effectExtent l="0" t="0" r="0" b="3175"/>
                      <wp:wrapNone/>
                      <wp:docPr id="6" name="Rectangle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267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BAD157" id="Rectangle 283" o:spid="_x0000_s1026" style="position:absolute;margin-left:350.05pt;margin-top:1in;width:82.1pt;height: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" o:allowincell="f" fillcolor="black" stroked="f" strokeweight="0">
                      <w10:wrap anchorx="margin" anchory="page"/>
                    </v:rect>
                  </w:pict>
                </mc:Fallback>
              </mc:AlternateContent>
            </w:r>
            <w:r w:rsidR="004B3510" w:rsidRPr="000B193D">
              <w:rPr>
                <w:rFonts w:ascii="Arial" w:hAnsi="Arial" w:cs="Arial"/>
                <w:sz w:val="20"/>
                <w:szCs w:val="20"/>
              </w:rPr>
              <w:t xml:space="preserve">MVR </w:t>
            </w:r>
            <w:r w:rsidR="00E76FD9">
              <w:rPr>
                <w:rFonts w:ascii="Arial" w:hAnsi="Arial" w:cs="Arial"/>
                <w:sz w:val="20"/>
                <w:szCs w:val="20"/>
              </w:rPr>
              <w:t>15,000.00</w:t>
            </w:r>
          </w:p>
        </w:tc>
      </w:tr>
      <w:tr w:rsidR="00806B45" w:rsidRPr="00805F8E" w14:paraId="1F860947" w14:textId="77777777">
        <w:trPr>
          <w:cantSplit/>
        </w:trPr>
        <w:tc>
          <w:tcPr>
            <w:tcW w:w="9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46" w14:textId="77777777" w:rsidR="00806B45" w:rsidRPr="00805F8E" w:rsidRDefault="006D7109" w:rsidP="00820444">
            <w:pPr>
              <w:tabs>
                <w:tab w:val="left" w:pos="556"/>
              </w:tabs>
              <w:spacing w:before="120" w:after="120"/>
              <w:ind w:left="562" w:right="-72" w:hanging="562"/>
              <w:rPr>
                <w:rFonts w:ascii="Arial" w:hAnsi="Arial" w:cs="Arial"/>
                <w:b/>
                <w:sz w:val="20"/>
                <w:szCs w:val="20"/>
              </w:rPr>
            </w:pPr>
            <w:r w:rsidRPr="00820444">
              <w:rPr>
                <w:rFonts w:ascii="Arial" w:hAnsi="Arial" w:cs="Arial"/>
                <w:b/>
              </w:rPr>
              <w:t>D</w:t>
            </w:r>
            <w:r w:rsidR="00806B45" w:rsidRPr="00820444">
              <w:rPr>
                <w:rFonts w:ascii="Arial" w:hAnsi="Arial" w:cs="Arial"/>
                <w:b/>
              </w:rPr>
              <w:t>. Quality Control</w:t>
            </w:r>
          </w:p>
        </w:tc>
      </w:tr>
      <w:tr w:rsidR="00806B45" w:rsidRPr="00805F8E" w14:paraId="1F86094A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48" w14:textId="77777777" w:rsidR="00806B45" w:rsidRPr="009E563A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E563A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EF1F8A" w:rsidRPr="009E563A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9E563A">
              <w:rPr>
                <w:rFonts w:ascii="Arial" w:hAnsi="Arial" w:cs="Arial"/>
                <w:b/>
                <w:sz w:val="20"/>
                <w:szCs w:val="20"/>
              </w:rPr>
              <w:t>3.1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49" w14:textId="4E466E92" w:rsidR="00806B45" w:rsidRPr="009E563A" w:rsidRDefault="00806B45" w:rsidP="007518D2">
            <w:pPr>
              <w:spacing w:before="120" w:after="120"/>
              <w:ind w:right="92"/>
              <w:rPr>
                <w:rFonts w:ascii="Arial" w:hAnsi="Arial" w:cs="Arial"/>
                <w:sz w:val="20"/>
                <w:szCs w:val="20"/>
              </w:rPr>
            </w:pPr>
            <w:r w:rsidRPr="009E563A">
              <w:rPr>
                <w:rFonts w:ascii="Arial" w:hAnsi="Arial" w:cs="Arial"/>
                <w:sz w:val="20"/>
                <w:szCs w:val="20"/>
              </w:rPr>
              <w:t>The Defects Liability Period is:</w:t>
            </w:r>
            <w:r w:rsidR="009E56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6FD9">
              <w:rPr>
                <w:rFonts w:ascii="Arial" w:hAnsi="Arial" w:cs="Arial"/>
                <w:sz w:val="20"/>
                <w:szCs w:val="20"/>
              </w:rPr>
              <w:t xml:space="preserve">365 </w:t>
            </w:r>
            <w:r w:rsidRPr="009E563A">
              <w:rPr>
                <w:rFonts w:ascii="Arial" w:hAnsi="Arial" w:cs="Arial"/>
                <w:sz w:val="20"/>
                <w:szCs w:val="20"/>
              </w:rPr>
              <w:t>days.</w:t>
            </w:r>
          </w:p>
        </w:tc>
      </w:tr>
      <w:tr w:rsidR="00806B45" w:rsidRPr="00805F8E" w14:paraId="1F86094C" w14:textId="77777777">
        <w:trPr>
          <w:cantSplit/>
        </w:trPr>
        <w:tc>
          <w:tcPr>
            <w:tcW w:w="9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4B" w14:textId="77777777" w:rsidR="00806B45" w:rsidRPr="00805F8E" w:rsidRDefault="0067069A" w:rsidP="00820444">
            <w:pPr>
              <w:tabs>
                <w:tab w:val="left" w:pos="556"/>
              </w:tabs>
              <w:spacing w:before="120" w:after="120"/>
              <w:ind w:left="562" w:right="-72" w:hanging="562"/>
              <w:rPr>
                <w:rFonts w:ascii="Arial" w:hAnsi="Arial" w:cs="Arial"/>
                <w:b/>
                <w:sz w:val="20"/>
                <w:szCs w:val="20"/>
              </w:rPr>
            </w:pPr>
            <w:r w:rsidRPr="00820444">
              <w:rPr>
                <w:rFonts w:ascii="Arial" w:hAnsi="Arial" w:cs="Arial"/>
                <w:b/>
              </w:rPr>
              <w:t>E</w:t>
            </w:r>
            <w:r w:rsidR="00806B45" w:rsidRPr="00820444">
              <w:rPr>
                <w:rFonts w:ascii="Arial" w:hAnsi="Arial" w:cs="Arial"/>
                <w:b/>
              </w:rPr>
              <w:t>. Cost Control</w:t>
            </w:r>
          </w:p>
        </w:tc>
      </w:tr>
      <w:tr w:rsidR="00806B45" w:rsidRPr="00805F8E" w14:paraId="1F86094F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4D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DC5BAC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4E" w14:textId="3B6B9711" w:rsidR="00806B45" w:rsidRPr="009A34E6" w:rsidRDefault="00806B45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currency of the Employer’s country is: </w:t>
            </w:r>
            <w:r w:rsidR="004B3510">
              <w:rPr>
                <w:rFonts w:ascii="Arial" w:hAnsi="Arial" w:cs="Arial"/>
                <w:sz w:val="20"/>
                <w:szCs w:val="20"/>
              </w:rPr>
              <w:t>Maldivian Rufiyaa (MVR)</w:t>
            </w:r>
          </w:p>
        </w:tc>
      </w:tr>
      <w:tr w:rsidR="00806B45" w:rsidRPr="00805F8E" w14:paraId="1F860953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50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DC5BAC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51" w14:textId="51D2EB66" w:rsidR="00806B45" w:rsidRPr="00805F8E" w:rsidRDefault="00806B45" w:rsidP="0088309C">
            <w:pPr>
              <w:spacing w:before="120" w:after="120"/>
              <w:ind w:right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>The Contract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21F8">
              <w:rPr>
                <w:rFonts w:ascii="Arial" w:hAnsi="Arial" w:cs="Arial"/>
                <w:sz w:val="20"/>
                <w:szCs w:val="20"/>
              </w:rPr>
              <w:t>is not</w:t>
            </w:r>
            <w:r w:rsidR="00B521F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805F8E">
              <w:rPr>
                <w:rFonts w:ascii="Arial" w:hAnsi="Arial" w:cs="Arial"/>
                <w:sz w:val="20"/>
                <w:szCs w:val="20"/>
              </w:rPr>
              <w:t xml:space="preserve">subject to price adjustment </w:t>
            </w:r>
          </w:p>
          <w:p w14:paraId="1C4200A3" w14:textId="77777777" w:rsidR="00AF2B5E" w:rsidRDefault="00AF2B5E" w:rsidP="0088309C">
            <w:pPr>
              <w:spacing w:before="120" w:after="120"/>
              <w:ind w:right="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860952" w14:textId="7CCB8D64" w:rsidR="00806B45" w:rsidRPr="00062E59" w:rsidRDefault="00806B45" w:rsidP="0088309C">
            <w:pPr>
              <w:spacing w:before="120" w:after="120"/>
              <w:ind w:right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coefficients </w:t>
            </w:r>
            <w:r>
              <w:rPr>
                <w:rFonts w:ascii="Arial" w:hAnsi="Arial" w:cs="Arial"/>
                <w:sz w:val="20"/>
                <w:szCs w:val="20"/>
              </w:rPr>
              <w:t>and ind</w:t>
            </w:r>
            <w:r w:rsidR="00D2289A">
              <w:rPr>
                <w:rFonts w:ascii="Arial" w:hAnsi="Arial" w:cs="Arial"/>
                <w:sz w:val="20"/>
                <w:szCs w:val="20"/>
              </w:rPr>
              <w:t>exes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5F8E">
              <w:rPr>
                <w:rFonts w:ascii="Arial" w:hAnsi="Arial" w:cs="Arial"/>
                <w:sz w:val="20"/>
                <w:szCs w:val="20"/>
              </w:rPr>
              <w:t xml:space="preserve">for adjustment of prices </w:t>
            </w:r>
            <w:r>
              <w:rPr>
                <w:rFonts w:ascii="Arial" w:hAnsi="Arial" w:cs="Arial"/>
                <w:sz w:val="20"/>
                <w:szCs w:val="20"/>
              </w:rPr>
              <w:t xml:space="preserve">in local and </w:t>
            </w:r>
            <w:r w:rsidR="001476E9">
              <w:rPr>
                <w:rFonts w:ascii="Arial" w:hAnsi="Arial" w:cs="Arial"/>
                <w:sz w:val="20"/>
                <w:szCs w:val="20"/>
              </w:rPr>
              <w:t>foreign</w:t>
            </w:r>
            <w:r>
              <w:rPr>
                <w:rFonts w:ascii="Arial" w:hAnsi="Arial" w:cs="Arial"/>
                <w:sz w:val="20"/>
                <w:szCs w:val="20"/>
              </w:rPr>
              <w:t xml:space="preserve"> currencies </w:t>
            </w:r>
            <w:r w:rsidRPr="00805F8E">
              <w:rPr>
                <w:rFonts w:ascii="Arial" w:hAnsi="Arial" w:cs="Arial"/>
                <w:sz w:val="20"/>
                <w:szCs w:val="20"/>
              </w:rPr>
              <w:t xml:space="preserve">shall be </w:t>
            </w:r>
            <w:r w:rsidRPr="0014071E">
              <w:rPr>
                <w:rFonts w:ascii="Arial" w:hAnsi="Arial" w:cs="Arial"/>
                <w:sz w:val="20"/>
                <w:szCs w:val="20"/>
              </w:rPr>
              <w:t>as specified in the Table</w:t>
            </w:r>
            <w:r>
              <w:rPr>
                <w:rFonts w:ascii="Arial" w:hAnsi="Arial" w:cs="Arial"/>
                <w:sz w:val="20"/>
                <w:szCs w:val="20"/>
              </w:rPr>
              <w:t>(s)</w:t>
            </w:r>
            <w:r w:rsidRPr="0014071E">
              <w:rPr>
                <w:rFonts w:ascii="Arial" w:hAnsi="Arial" w:cs="Arial"/>
                <w:sz w:val="20"/>
                <w:szCs w:val="20"/>
              </w:rPr>
              <w:t xml:space="preserve"> of Adjustment Data submitted toget</w:t>
            </w:r>
            <w:r>
              <w:rPr>
                <w:rFonts w:ascii="Arial" w:hAnsi="Arial" w:cs="Arial"/>
                <w:sz w:val="20"/>
                <w:szCs w:val="20"/>
              </w:rPr>
              <w:t>her with the L</w:t>
            </w:r>
            <w:r w:rsidRPr="0014071E">
              <w:rPr>
                <w:rFonts w:ascii="Arial" w:hAnsi="Arial" w:cs="Arial"/>
                <w:sz w:val="20"/>
                <w:szCs w:val="20"/>
              </w:rPr>
              <w:t>etter of Bid.</w:t>
            </w:r>
          </w:p>
        </w:tc>
      </w:tr>
      <w:tr w:rsidR="00806B45" w:rsidRPr="00805F8E" w14:paraId="1F860956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54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B36CC2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60800" w14:textId="77777777" w:rsidR="00E76FD9" w:rsidRPr="00405550" w:rsidRDefault="00E76FD9" w:rsidP="00E76FD9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405550">
              <w:rPr>
                <w:rFonts w:ascii="Arial" w:hAnsi="Arial" w:cs="Arial"/>
                <w:sz w:val="20"/>
                <w:szCs w:val="20"/>
              </w:rPr>
              <w:t xml:space="preserve">The proportion of payments retained is: The retention from each payment shall be 10% of the certified </w:t>
            </w:r>
            <w:r w:rsidRPr="00D553BB">
              <w:rPr>
                <w:rFonts w:ascii="Arial" w:hAnsi="Arial" w:cs="Arial"/>
                <w:b/>
                <w:bCs/>
                <w:sz w:val="20"/>
                <w:szCs w:val="20"/>
              </w:rPr>
              <w:t>value of work executed</w:t>
            </w:r>
            <w:r w:rsidRPr="0040555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F860955" w14:textId="6D23DDA9" w:rsidR="00806B45" w:rsidRPr="00845926" w:rsidRDefault="00E76FD9" w:rsidP="00E76FD9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405550">
              <w:rPr>
                <w:rFonts w:ascii="Arial" w:hAnsi="Arial" w:cs="Arial"/>
                <w:sz w:val="20"/>
                <w:szCs w:val="20"/>
              </w:rPr>
              <w:t xml:space="preserve">The limit of retention shall be 5% of the </w:t>
            </w:r>
            <w:r w:rsidRPr="00D553BB">
              <w:rPr>
                <w:rFonts w:ascii="Arial" w:hAnsi="Arial" w:cs="Arial"/>
                <w:b/>
                <w:bCs/>
                <w:sz w:val="20"/>
                <w:szCs w:val="20"/>
              </w:rPr>
              <w:t>Initial Contract Price</w:t>
            </w:r>
            <w:r w:rsidRPr="004055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06B45" w:rsidRPr="00805F8E" w14:paraId="1F86095B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57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DC5BAC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58" w14:textId="73C9BC74" w:rsidR="00D11733" w:rsidRDefault="00806B45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liquidated damages for the whole of the Works are </w:t>
            </w:r>
            <w:r w:rsidR="00E76FD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1" locked="0" layoutInCell="0" allowOverlap="1" wp14:anchorId="172989E9" wp14:editId="2F9C75DB">
                      <wp:simplePos x="0" y="0"/>
                      <wp:positionH relativeFrom="margin">
                        <wp:posOffset>3395345</wp:posOffset>
                      </wp:positionH>
                      <wp:positionV relativeFrom="page">
                        <wp:posOffset>914400</wp:posOffset>
                      </wp:positionV>
                      <wp:extent cx="2094230" cy="6350"/>
                      <wp:effectExtent l="4445" t="0" r="0" b="3175"/>
                      <wp:wrapNone/>
                      <wp:docPr id="1684151297" name="Rectangl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4230" cy="6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3C952" id="Rectangle 286" o:spid="_x0000_s1026" style="position:absolute;margin-left:267.35pt;margin-top:1in;width:164.9pt;height:.5pt;z-index:-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" o:allowincell="f" fillcolor="black" stroked="f" strokeweight="0">
                      <w10:wrap anchorx="margin" anchory="page"/>
                    </v:rect>
                  </w:pict>
                </mc:Fallback>
              </mc:AlternateContent>
            </w:r>
            <w:r w:rsidR="00E76FD9">
              <w:rPr>
                <w:rFonts w:ascii="Arial" w:hAnsi="Arial" w:cs="Arial"/>
                <w:i/>
                <w:sz w:val="20"/>
                <w:szCs w:val="20"/>
              </w:rPr>
              <w:t>0.25%</w:t>
            </w:r>
            <w:r w:rsidR="00E76FD9" w:rsidRPr="00805F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5F8E">
              <w:rPr>
                <w:rFonts w:ascii="Arial" w:hAnsi="Arial" w:cs="Arial"/>
                <w:sz w:val="20"/>
                <w:szCs w:val="20"/>
              </w:rPr>
              <w:t>per day.</w:t>
            </w:r>
          </w:p>
          <w:p w14:paraId="1F860959" w14:textId="77777777" w:rsidR="00D11733" w:rsidRDefault="00D11733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</w:p>
          <w:p w14:paraId="1F86095A" w14:textId="4544A6C0" w:rsidR="00806B45" w:rsidRPr="00062E59" w:rsidRDefault="00806B45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maximum </w:t>
            </w:r>
            <w:proofErr w:type="gramStart"/>
            <w:r w:rsidRPr="00805F8E">
              <w:rPr>
                <w:rFonts w:ascii="Arial" w:hAnsi="Arial" w:cs="Arial"/>
                <w:sz w:val="20"/>
                <w:szCs w:val="20"/>
              </w:rPr>
              <w:t>amount</w:t>
            </w:r>
            <w:proofErr w:type="gramEnd"/>
            <w:r w:rsidRPr="00805F8E">
              <w:rPr>
                <w:rFonts w:ascii="Arial" w:hAnsi="Arial" w:cs="Arial"/>
                <w:sz w:val="20"/>
                <w:szCs w:val="20"/>
              </w:rPr>
              <w:t xml:space="preserve"> of liquidated damages for the whole of the Works is</w:t>
            </w:r>
            <w:r w:rsidR="004E2F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56C8">
              <w:rPr>
                <w:rFonts w:ascii="Arial" w:hAnsi="Arial" w:cs="Arial"/>
                <w:sz w:val="20"/>
                <w:szCs w:val="20"/>
              </w:rPr>
              <w:t>15%</w:t>
            </w:r>
            <w:r w:rsidR="00ED56C8" w:rsidRPr="00805F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5F8E">
              <w:rPr>
                <w:rFonts w:ascii="Arial" w:hAnsi="Arial" w:cs="Arial"/>
                <w:sz w:val="20"/>
                <w:szCs w:val="20"/>
              </w:rPr>
              <w:t>of the final Contract Price.</w:t>
            </w:r>
          </w:p>
        </w:tc>
      </w:tr>
      <w:tr w:rsidR="00806B45" w:rsidRPr="00805F8E" w14:paraId="1F86095E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5C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DC5BAC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5D" w14:textId="00AE64CC" w:rsidR="00806B45" w:rsidRPr="0045304B" w:rsidRDefault="00806B45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Bonus for the whole of the Works is </w:t>
            </w:r>
            <w:r w:rsidR="00A0164B">
              <w:rPr>
                <w:rFonts w:ascii="Arial" w:hAnsi="Arial" w:cs="Arial"/>
                <w:sz w:val="20"/>
                <w:szCs w:val="20"/>
              </w:rPr>
              <w:t>Not Applicable</w:t>
            </w:r>
          </w:p>
        </w:tc>
      </w:tr>
      <w:tr w:rsidR="00806B45" w:rsidRPr="00805F8E" w14:paraId="1F860961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5F" w14:textId="77777777" w:rsidR="00806B45" w:rsidRPr="00805F8E" w:rsidRDefault="00806B45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DC5BAC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60" w14:textId="4B62C7FF" w:rsidR="00806B45" w:rsidRPr="003A4179" w:rsidRDefault="00A0164B" w:rsidP="00F63539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5D02AA">
              <w:rPr>
                <w:rFonts w:ascii="Arial" w:hAnsi="Arial" w:cs="Arial"/>
                <w:sz w:val="20"/>
                <w:szCs w:val="20"/>
                <w:lang w:val="en-GB"/>
              </w:rPr>
              <w:t xml:space="preserve">The Advance Payments shall be </w:t>
            </w:r>
            <w:r w:rsidRPr="005D02A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15%</w:t>
            </w:r>
            <w:r w:rsidRPr="005D02AA">
              <w:rPr>
                <w:rFonts w:ascii="Arial" w:hAnsi="Arial" w:cs="Arial"/>
                <w:sz w:val="20"/>
                <w:szCs w:val="20"/>
                <w:lang w:val="en-GB"/>
              </w:rPr>
              <w:t xml:space="preserve"> of the accepted contract price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CE7109">
              <w:rPr>
                <w:rFonts w:ascii="Arial" w:hAnsi="Arial" w:cs="Arial"/>
                <w:sz w:val="20"/>
                <w:szCs w:val="20"/>
                <w:lang w:val="en-GB"/>
              </w:rPr>
              <w:t>xcluding Provisional Sums and Contingencies</w:t>
            </w:r>
            <w:r w:rsidRPr="005D02AA">
              <w:rPr>
                <w:rFonts w:ascii="Arial" w:hAnsi="Arial" w:cs="Arial"/>
                <w:sz w:val="20"/>
                <w:szCs w:val="20"/>
                <w:lang w:val="en-GB"/>
              </w:rPr>
              <w:t xml:space="preserve">) and shall be paid to the Contractor no later than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28</w:t>
            </w:r>
            <w:r w:rsidRPr="005D02AA">
              <w:rPr>
                <w:rFonts w:ascii="Arial" w:hAnsi="Arial" w:cs="Arial"/>
                <w:sz w:val="20"/>
                <w:szCs w:val="20"/>
                <w:lang w:val="en-GB"/>
              </w:rPr>
              <w:t xml:space="preserve"> days from signing of the Contract, provided that necessary bonds are provided by the contractor.</w:t>
            </w:r>
          </w:p>
        </w:tc>
      </w:tr>
      <w:tr w:rsidR="008D3EF2" w:rsidRPr="00805F8E" w14:paraId="1F860964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62" w14:textId="77777777" w:rsidR="008D3EF2" w:rsidRPr="00805F8E" w:rsidRDefault="008D3EF2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E258B">
              <w:rPr>
                <w:rFonts w:ascii="Arial" w:hAnsi="Arial" w:cs="Arial"/>
                <w:b/>
                <w:sz w:val="20"/>
                <w:szCs w:val="20"/>
              </w:rPr>
              <w:t>GCC 58.3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63" w14:textId="49A81913" w:rsidR="008D3EF2" w:rsidRPr="00805F8E" w:rsidRDefault="00A0164B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405550">
              <w:rPr>
                <w:rFonts w:ascii="Arial" w:hAnsi="Arial" w:cs="Arial"/>
                <w:sz w:val="20"/>
                <w:szCs w:val="20"/>
              </w:rPr>
              <w:t xml:space="preserve">Repayment of the Advance Payment shall be: </w:t>
            </w:r>
            <w:r w:rsidRPr="00D553BB">
              <w:rPr>
                <w:rFonts w:ascii="Arial" w:hAnsi="Arial" w:cs="Arial"/>
                <w:b/>
                <w:bCs/>
                <w:sz w:val="20"/>
                <w:szCs w:val="20"/>
              </w:rPr>
              <w:t>17%</w:t>
            </w:r>
            <w:r w:rsidRPr="0040555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405550">
              <w:rPr>
                <w:rFonts w:ascii="Arial" w:hAnsi="Arial" w:cs="Arial"/>
                <w:sz w:val="20"/>
                <w:szCs w:val="20"/>
              </w:rPr>
              <w:t>from each payment certificate. however</w:t>
            </w:r>
            <w:r w:rsidRPr="0040555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, when the total certified value of work reached to </w:t>
            </w:r>
            <w:r w:rsidRPr="00D553BB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90%</w:t>
            </w:r>
            <w:r w:rsidRPr="00405550">
              <w:rPr>
                <w:rFonts w:ascii="Arial" w:hAnsi="Arial" w:cs="Arial"/>
                <w:iCs/>
                <w:color w:val="000000"/>
                <w:sz w:val="20"/>
                <w:szCs w:val="20"/>
              </w:rPr>
              <w:t xml:space="preserve"> of the Initial Contract Price, full amount of Advance Payment shall be recovered.</w:t>
            </w:r>
            <w:r w:rsidRPr="00405550">
              <w:rPr>
                <w:rFonts w:ascii="Comic Sans MS" w:hAnsi="Comic Sans MS" w:cs="Arial"/>
                <w:i/>
                <w:color w:val="000000"/>
                <w:sz w:val="16"/>
                <w:szCs w:val="16"/>
              </w:rPr>
              <w:t xml:space="preserve"> </w:t>
            </w:r>
            <w:r w:rsidRPr="00405550">
              <w:rPr>
                <w:rFonts w:ascii="Comic Sans MS" w:hAnsi="Comic Sans MS" w:cs="Arial"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8D3EF2" w:rsidRPr="00805F8E" w14:paraId="1F860967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65" w14:textId="77777777" w:rsidR="008D3EF2" w:rsidRPr="00805F8E" w:rsidRDefault="008D3EF2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66" w14:textId="75BE0018" w:rsidR="008D3EF2" w:rsidRPr="005626A9" w:rsidRDefault="008D3EF2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Performance Security amount is </w:t>
            </w:r>
            <w:r w:rsidR="00A0164B">
              <w:rPr>
                <w:rFonts w:ascii="Arial" w:hAnsi="Arial" w:cs="Arial"/>
                <w:sz w:val="20"/>
                <w:szCs w:val="20"/>
              </w:rPr>
              <w:t>10% of the accepted contract price and shall be denominated in contracted currency.</w:t>
            </w:r>
          </w:p>
        </w:tc>
      </w:tr>
      <w:tr w:rsidR="008D3EF2" w:rsidRPr="00805F8E" w14:paraId="1F860969" w14:textId="77777777">
        <w:trPr>
          <w:cantSplit/>
        </w:trPr>
        <w:tc>
          <w:tcPr>
            <w:tcW w:w="9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68" w14:textId="77777777" w:rsidR="008D3EF2" w:rsidRPr="00805F8E" w:rsidRDefault="008D3EF2" w:rsidP="00820444">
            <w:pPr>
              <w:tabs>
                <w:tab w:val="left" w:pos="556"/>
              </w:tabs>
              <w:spacing w:before="120" w:after="120"/>
              <w:ind w:left="562" w:right="-72" w:hanging="562"/>
              <w:rPr>
                <w:rFonts w:ascii="Arial" w:hAnsi="Arial" w:cs="Arial"/>
                <w:b/>
                <w:sz w:val="20"/>
                <w:szCs w:val="20"/>
              </w:rPr>
            </w:pPr>
            <w:r w:rsidRPr="00820444">
              <w:rPr>
                <w:rFonts w:ascii="Arial" w:hAnsi="Arial" w:cs="Arial"/>
                <w:b/>
              </w:rPr>
              <w:t>G. Finishing the Contract</w:t>
            </w:r>
          </w:p>
        </w:tc>
      </w:tr>
      <w:tr w:rsidR="008D3EF2" w:rsidRPr="00805F8E" w14:paraId="1F86096E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6A" w14:textId="77777777" w:rsidR="008D3EF2" w:rsidRPr="00805F8E" w:rsidRDefault="008D3EF2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EF3F57"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E788F" w14:textId="77777777" w:rsidR="00A0164B" w:rsidRPr="00405550" w:rsidRDefault="008D3EF2" w:rsidP="00A0164B">
            <w:pPr>
              <w:spacing w:before="120" w:after="120"/>
              <w:ind w:right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date by which operating and maintenance manuals are required is </w:t>
            </w:r>
            <w:r w:rsidR="00A0164B" w:rsidRPr="00405550">
              <w:rPr>
                <w:rFonts w:ascii="Arial" w:hAnsi="Arial" w:cs="Arial"/>
                <w:sz w:val="20"/>
                <w:szCs w:val="20"/>
              </w:rPr>
              <w:t>14 Days from the date of issuing the Certificate of completion of the Works.</w:t>
            </w:r>
          </w:p>
          <w:p w14:paraId="1F86096D" w14:textId="5ACBF5C1" w:rsidR="008D3EF2" w:rsidRPr="006F6F9E" w:rsidRDefault="008D3EF2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date by which “as built” drawings are required is </w:t>
            </w:r>
            <w:r w:rsidR="00A0164B" w:rsidRPr="00405550">
              <w:rPr>
                <w:rFonts w:ascii="Arial" w:hAnsi="Arial" w:cs="Arial"/>
                <w:sz w:val="20"/>
                <w:szCs w:val="20"/>
              </w:rPr>
              <w:t xml:space="preserve">14 days from the date of </w:t>
            </w:r>
            <w:r w:rsidR="00A0164B" w:rsidRPr="00405550">
              <w:rPr>
                <w:rFonts w:ascii="Arial" w:hAnsi="Arial" w:cs="Arial"/>
                <w:sz w:val="20"/>
                <w:szCs w:val="20"/>
              </w:rPr>
              <w:lastRenderedPageBreak/>
              <w:t>issuing the Certificate of completion of the Works.</w:t>
            </w:r>
          </w:p>
        </w:tc>
      </w:tr>
      <w:tr w:rsidR="008D3EF2" w:rsidRPr="00805F8E" w14:paraId="1F860971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6F" w14:textId="77777777" w:rsidR="008D3EF2" w:rsidRPr="00805F8E" w:rsidRDefault="008D3EF2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GCC </w:t>
            </w:r>
            <w:r w:rsidR="00EF3F57"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70" w14:textId="5E0CDED2" w:rsidR="008D3EF2" w:rsidRPr="00805F8E" w:rsidRDefault="008D3EF2" w:rsidP="007518D2">
            <w:pPr>
              <w:spacing w:before="120" w:after="120"/>
              <w:ind w:right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amount to be withheld for failing to produce “as built” drawings and/or operating and maintenance manuals by the date required in GCC </w:t>
            </w:r>
            <w:r w:rsidR="00344C15">
              <w:rPr>
                <w:rFonts w:ascii="Arial" w:hAnsi="Arial" w:cs="Arial"/>
                <w:sz w:val="20"/>
                <w:szCs w:val="20"/>
              </w:rPr>
              <w:t>72</w:t>
            </w:r>
            <w:r w:rsidRPr="00805F8E">
              <w:rPr>
                <w:rFonts w:ascii="Arial" w:hAnsi="Arial" w:cs="Arial"/>
                <w:sz w:val="20"/>
                <w:szCs w:val="20"/>
              </w:rPr>
              <w:t xml:space="preserve">.1 </w:t>
            </w:r>
            <w:r w:rsidR="00996926">
              <w:rPr>
                <w:rFonts w:ascii="Arial" w:hAnsi="Arial" w:cs="Arial"/>
                <w:b/>
                <w:bCs/>
                <w:sz w:val="20"/>
                <w:szCs w:val="20"/>
              </w:rPr>
              <w:t>shall be 1% of the contract sum.</w:t>
            </w:r>
          </w:p>
        </w:tc>
      </w:tr>
      <w:tr w:rsidR="008D3EF2" w:rsidRPr="00805F8E" w14:paraId="1F860974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72" w14:textId="77777777" w:rsidR="008D3EF2" w:rsidRPr="00805F8E" w:rsidRDefault="008D3EF2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EF3F57">
              <w:rPr>
                <w:rFonts w:ascii="Arial" w:hAnsi="Arial" w:cs="Arial"/>
                <w:b/>
                <w:sz w:val="20"/>
                <w:szCs w:val="20"/>
              </w:rPr>
              <w:t>73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.2 (</w:t>
            </w:r>
            <w:r w:rsidR="007C3CB9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73" w14:textId="4137100D" w:rsidR="008D3EF2" w:rsidRPr="00903845" w:rsidRDefault="008D3EF2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maximum number of days is: </w:t>
            </w:r>
            <w:r w:rsidR="00996926">
              <w:rPr>
                <w:rFonts w:ascii="Arial" w:hAnsi="Arial" w:cs="Arial"/>
                <w:sz w:val="20"/>
                <w:szCs w:val="20"/>
              </w:rPr>
              <w:t>200 days</w:t>
            </w:r>
          </w:p>
        </w:tc>
      </w:tr>
      <w:tr w:rsidR="008D3EF2" w:rsidRPr="00805F8E" w14:paraId="1F860977" w14:textId="77777777"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75" w14:textId="77777777" w:rsidR="008D3EF2" w:rsidRPr="00805F8E" w:rsidRDefault="008D3EF2" w:rsidP="007518D2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05F8E">
              <w:rPr>
                <w:rFonts w:ascii="Arial" w:hAnsi="Arial" w:cs="Arial"/>
                <w:b/>
                <w:sz w:val="20"/>
                <w:szCs w:val="20"/>
              </w:rPr>
              <w:t xml:space="preserve">GCC </w:t>
            </w:r>
            <w:r w:rsidR="00EF3F57"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Pr="00805F8E">
              <w:rPr>
                <w:rFonts w:ascii="Arial" w:hAnsi="Arial" w:cs="Arial"/>
                <w:b/>
                <w:sz w:val="20"/>
                <w:szCs w:val="20"/>
              </w:rPr>
              <w:t>.1</w:t>
            </w:r>
          </w:p>
        </w:tc>
        <w:tc>
          <w:tcPr>
            <w:tcW w:w="7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60976" w14:textId="2B455C9F" w:rsidR="008D3EF2" w:rsidRPr="00903845" w:rsidRDefault="008D3EF2" w:rsidP="007518D2">
            <w:pPr>
              <w:spacing w:before="120" w:after="120"/>
              <w:ind w:right="2"/>
              <w:rPr>
                <w:rFonts w:ascii="Arial" w:hAnsi="Arial" w:cs="Arial"/>
                <w:sz w:val="20"/>
                <w:szCs w:val="20"/>
              </w:rPr>
            </w:pPr>
            <w:r w:rsidRPr="00805F8E">
              <w:rPr>
                <w:rFonts w:ascii="Arial" w:hAnsi="Arial" w:cs="Arial"/>
                <w:sz w:val="20"/>
                <w:szCs w:val="20"/>
              </w:rPr>
              <w:t xml:space="preserve">The percentage to apply to the value of the work not completed, representing the Employer’s additional cost for completing the Works, is </w:t>
            </w:r>
            <w:r w:rsidR="00996926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14:paraId="1F860978" w14:textId="77777777" w:rsidR="00805F8E" w:rsidRPr="00805F8E" w:rsidRDefault="00805F8E" w:rsidP="00805F8E">
      <w:pPr>
        <w:rPr>
          <w:rFonts w:ascii="Arial" w:hAnsi="Arial" w:cs="Arial"/>
          <w:sz w:val="20"/>
          <w:szCs w:val="20"/>
        </w:rPr>
      </w:pPr>
    </w:p>
    <w:p w14:paraId="1F860979" w14:textId="77777777" w:rsidR="00866DBB" w:rsidRPr="004B7B7C" w:rsidRDefault="00866DBB" w:rsidP="00020DBC">
      <w:pPr>
        <w:pStyle w:val="BlockText"/>
        <w:ind w:left="0"/>
        <w:rPr>
          <w:b w:val="0"/>
          <w:i w:val="0"/>
        </w:rPr>
      </w:pPr>
    </w:p>
    <w:sectPr w:rsidR="00866DBB" w:rsidRPr="004B7B7C" w:rsidSect="00C0299C">
      <w:headerReference w:type="even" r:id="rId10"/>
      <w:headerReference w:type="default" r:id="rId11"/>
      <w:headerReference w:type="first" r:id="rId12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24CC7" w14:textId="77777777" w:rsidR="001223F1" w:rsidRDefault="001223F1">
      <w:r>
        <w:separator/>
      </w:r>
    </w:p>
  </w:endnote>
  <w:endnote w:type="continuationSeparator" w:id="0">
    <w:p w14:paraId="517DE234" w14:textId="77777777" w:rsidR="001223F1" w:rsidRDefault="00122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Ideal Sans Light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E16E3" w14:textId="77777777" w:rsidR="001223F1" w:rsidRDefault="001223F1">
      <w:r>
        <w:separator/>
      </w:r>
    </w:p>
  </w:footnote>
  <w:footnote w:type="continuationSeparator" w:id="0">
    <w:p w14:paraId="349AB46B" w14:textId="77777777" w:rsidR="001223F1" w:rsidRDefault="00122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60991" w14:textId="76D0F81D" w:rsidR="00805F8E" w:rsidRDefault="008C4FD7" w:rsidP="008C4FD7">
    <w:pPr>
      <w:pStyle w:val="Header"/>
      <w:pBdr>
        <w:bottom w:val="single" w:sz="6" w:space="1" w:color="auto"/>
      </w:pBdr>
      <w:rPr>
        <w:rStyle w:val="PageNumber"/>
      </w:rPr>
    </w:pPr>
    <w:r>
      <w:rPr>
        <w:rStyle w:val="PageNumber"/>
        <w:sz w:val="16"/>
        <w:szCs w:val="16"/>
      </w:rPr>
      <w:t>8-</w:t>
    </w:r>
    <w:r w:rsidR="00C0299C" w:rsidRPr="008C4FD7">
      <w:rPr>
        <w:rStyle w:val="PageNumber"/>
        <w:sz w:val="16"/>
        <w:szCs w:val="16"/>
      </w:rPr>
      <w:fldChar w:fldCharType="begin"/>
    </w:r>
    <w:r w:rsidR="00805F8E" w:rsidRPr="008C4FD7">
      <w:rPr>
        <w:rStyle w:val="PageNumber"/>
        <w:sz w:val="16"/>
        <w:szCs w:val="16"/>
      </w:rPr>
      <w:instrText xml:space="preserve"> PAGE </w:instrText>
    </w:r>
    <w:r w:rsidR="00C0299C" w:rsidRPr="008C4FD7">
      <w:rPr>
        <w:rStyle w:val="PageNumber"/>
        <w:sz w:val="16"/>
        <w:szCs w:val="16"/>
      </w:rPr>
      <w:fldChar w:fldCharType="separate"/>
    </w:r>
    <w:r w:rsidR="00110235">
      <w:rPr>
        <w:rStyle w:val="PageNumber"/>
        <w:noProof/>
        <w:sz w:val="16"/>
        <w:szCs w:val="16"/>
      </w:rPr>
      <w:t>4</w:t>
    </w:r>
    <w:r w:rsidR="00C0299C" w:rsidRPr="008C4FD7">
      <w:rPr>
        <w:rStyle w:val="PageNumber"/>
        <w:sz w:val="16"/>
        <w:szCs w:val="16"/>
      </w:rPr>
      <w:fldChar w:fldCharType="end"/>
    </w:r>
    <w:r w:rsidR="00805F8E">
      <w:rPr>
        <w:rStyle w:val="PageNumber"/>
      </w:rPr>
      <w:tab/>
    </w:r>
    <w:r>
      <w:rPr>
        <w:sz w:val="16"/>
      </w:rPr>
      <w:t>Section 8</w:t>
    </w:r>
    <w:r w:rsidR="0024419E">
      <w:rPr>
        <w:sz w:val="16"/>
      </w:rPr>
      <w:t>:</w:t>
    </w:r>
    <w:r>
      <w:rPr>
        <w:sz w:val="16"/>
      </w:rPr>
      <w:t xml:space="preserve"> Particular Conditions of Contract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60992" w14:textId="39EA9132" w:rsidR="00805F8E" w:rsidRDefault="008C4FD7">
    <w:pPr>
      <w:pStyle w:val="Header"/>
      <w:pBdr>
        <w:bottom w:val="single" w:sz="6" w:space="1" w:color="auto"/>
      </w:pBdr>
      <w:rPr>
        <w:rStyle w:val="PageNumber"/>
      </w:rPr>
    </w:pPr>
    <w:r>
      <w:rPr>
        <w:sz w:val="16"/>
      </w:rPr>
      <w:t>Section 8</w:t>
    </w:r>
    <w:r w:rsidR="0024419E">
      <w:rPr>
        <w:sz w:val="16"/>
      </w:rPr>
      <w:t>:</w:t>
    </w:r>
    <w:r>
      <w:rPr>
        <w:sz w:val="16"/>
      </w:rPr>
      <w:t xml:space="preserve"> Particular Conditions of Contract</w:t>
    </w:r>
    <w:r w:rsidR="00805F8E">
      <w:rPr>
        <w:rStyle w:val="PageNumber"/>
      </w:rPr>
      <w:tab/>
    </w:r>
    <w:r w:rsidRPr="008C4FD7">
      <w:rPr>
        <w:rStyle w:val="PageNumber"/>
        <w:sz w:val="16"/>
        <w:szCs w:val="16"/>
      </w:rPr>
      <w:t>8-</w:t>
    </w:r>
    <w:r w:rsidR="00C0299C" w:rsidRPr="008C4FD7">
      <w:rPr>
        <w:rStyle w:val="PageNumber"/>
        <w:sz w:val="16"/>
        <w:szCs w:val="16"/>
      </w:rPr>
      <w:fldChar w:fldCharType="begin"/>
    </w:r>
    <w:r w:rsidR="00805F8E" w:rsidRPr="008C4FD7">
      <w:rPr>
        <w:rStyle w:val="PageNumber"/>
        <w:sz w:val="16"/>
        <w:szCs w:val="16"/>
      </w:rPr>
      <w:instrText xml:space="preserve"> PAGE </w:instrText>
    </w:r>
    <w:r w:rsidR="00C0299C" w:rsidRPr="008C4FD7">
      <w:rPr>
        <w:rStyle w:val="PageNumber"/>
        <w:sz w:val="16"/>
        <w:szCs w:val="16"/>
      </w:rPr>
      <w:fldChar w:fldCharType="separate"/>
    </w:r>
    <w:r w:rsidR="00110235">
      <w:rPr>
        <w:rStyle w:val="PageNumber"/>
        <w:noProof/>
        <w:sz w:val="16"/>
        <w:szCs w:val="16"/>
      </w:rPr>
      <w:t>3</w:t>
    </w:r>
    <w:r w:rsidR="00C0299C" w:rsidRPr="008C4FD7">
      <w:rPr>
        <w:rStyle w:val="PageNumber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60993" w14:textId="77777777" w:rsidR="00805F8E" w:rsidRPr="008C4FD7" w:rsidRDefault="008C4FD7">
    <w:pPr>
      <w:pStyle w:val="Header"/>
      <w:pBdr>
        <w:bottom w:val="single" w:sz="6" w:space="1" w:color="auto"/>
      </w:pBdr>
      <w:rPr>
        <w:sz w:val="16"/>
        <w:szCs w:val="16"/>
      </w:rPr>
    </w:pPr>
    <w:r>
      <w:rPr>
        <w:sz w:val="16"/>
      </w:rPr>
      <w:t>Section 8 Particular Conditions of Contract</w:t>
    </w:r>
    <w:r w:rsidR="00805F8E">
      <w:tab/>
    </w:r>
    <w:r w:rsidRPr="008C4FD7">
      <w:rPr>
        <w:sz w:val="16"/>
        <w:szCs w:val="16"/>
      </w:rPr>
      <w:t>8-</w:t>
    </w:r>
    <w:r w:rsidR="00C0299C" w:rsidRPr="008C4FD7">
      <w:rPr>
        <w:rStyle w:val="PageNumber"/>
        <w:sz w:val="16"/>
        <w:szCs w:val="16"/>
      </w:rPr>
      <w:fldChar w:fldCharType="begin"/>
    </w:r>
    <w:r w:rsidR="00805F8E" w:rsidRPr="008C4FD7">
      <w:rPr>
        <w:rStyle w:val="PageNumber"/>
        <w:sz w:val="16"/>
        <w:szCs w:val="16"/>
      </w:rPr>
      <w:instrText xml:space="preserve"> PAGE </w:instrText>
    </w:r>
    <w:r w:rsidR="00C0299C" w:rsidRPr="008C4FD7">
      <w:rPr>
        <w:rStyle w:val="PageNumber"/>
        <w:sz w:val="16"/>
        <w:szCs w:val="16"/>
      </w:rPr>
      <w:fldChar w:fldCharType="separate"/>
    </w:r>
    <w:r w:rsidR="00020DBC">
      <w:rPr>
        <w:rStyle w:val="PageNumber"/>
        <w:noProof/>
        <w:sz w:val="16"/>
        <w:szCs w:val="16"/>
      </w:rPr>
      <w:t>3</w:t>
    </w:r>
    <w:r w:rsidR="00C0299C" w:rsidRPr="008C4FD7">
      <w:rPr>
        <w:rStyle w:val="PageNumber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2411AE"/>
    <w:multiLevelType w:val="multilevel"/>
    <w:tmpl w:val="F4A4E394"/>
    <w:lvl w:ilvl="0">
      <w:start w:val="21"/>
      <w:numFmt w:val="decimal"/>
      <w:lvlText w:val="%1"/>
      <w:legacy w:legacy="1" w:legacySpace="120" w:legacyIndent="600"/>
      <w:lvlJc w:val="left"/>
      <w:pPr>
        <w:ind w:left="600" w:hanging="600"/>
      </w:pPr>
    </w:lvl>
    <w:lvl w:ilvl="1">
      <w:start w:val="6"/>
      <w:numFmt w:val="decimal"/>
      <w:lvlText w:val="21.%2"/>
      <w:legacy w:legacy="1" w:legacySpace="120" w:legacyIndent="600"/>
      <w:lvlJc w:val="left"/>
      <w:pPr>
        <w:ind w:left="1200" w:hanging="600"/>
      </w:pPr>
    </w:lvl>
    <w:lvl w:ilvl="2">
      <w:start w:val="1"/>
      <w:numFmt w:val="lowerLetter"/>
      <w:lvlText w:val="(%3)"/>
      <w:legacy w:legacy="1" w:legacySpace="120" w:legacyIndent="547"/>
      <w:lvlJc w:val="left"/>
      <w:pPr>
        <w:ind w:left="1747" w:hanging="547"/>
      </w:pPr>
    </w:lvl>
    <w:lvl w:ilvl="3">
      <w:start w:val="1"/>
      <w:numFmt w:val="lowerRoman"/>
      <w:lvlText w:val="(%4)"/>
      <w:legacy w:legacy="1" w:legacySpace="120" w:legacyIndent="331"/>
      <w:lvlJc w:val="left"/>
      <w:pPr>
        <w:ind w:left="2078" w:hanging="331"/>
      </w:pPr>
    </w:lvl>
    <w:lvl w:ilvl="4">
      <w:start w:val="1"/>
      <w:numFmt w:val="decimal"/>
      <w:lvlText w:val=".%5"/>
      <w:legacy w:legacy="1" w:legacySpace="0" w:legacyIndent="0"/>
      <w:lvlJc w:val="left"/>
    </w:lvl>
    <w:lvl w:ilvl="5">
      <w:start w:val="1"/>
      <w:numFmt w:val="decimal"/>
      <w:lvlText w:val=".%5.%6"/>
      <w:legacy w:legacy="1" w:legacySpace="0" w:legacyIndent="0"/>
      <w:lvlJc w:val="left"/>
    </w:lvl>
    <w:lvl w:ilvl="6">
      <w:start w:val="1"/>
      <w:numFmt w:val="decimal"/>
      <w:lvlText w:val=".%5.%6.%7"/>
      <w:legacy w:legacy="1" w:legacySpace="0" w:legacyIndent="0"/>
      <w:lvlJc w:val="left"/>
    </w:lvl>
    <w:lvl w:ilvl="7">
      <w:start w:val="1"/>
      <w:numFmt w:val="decimal"/>
      <w:lvlText w:val=".%5.%6.%7.%8"/>
      <w:legacy w:legacy="1" w:legacySpace="0" w:legacyIndent="0"/>
      <w:lvlJc w:val="left"/>
    </w:lvl>
    <w:lvl w:ilvl="8">
      <w:start w:val="1"/>
      <w:numFmt w:val="decimal"/>
      <w:lvlText w:val=".%5.%6.%7.%8.%9"/>
      <w:legacy w:legacy="1" w:legacySpace="120" w:legacyIndent="1800"/>
      <w:lvlJc w:val="left"/>
      <w:pPr>
        <w:ind w:left="3878" w:hanging="1800"/>
      </w:pPr>
    </w:lvl>
  </w:abstractNum>
  <w:abstractNum w:abstractNumId="11" w15:restartNumberingAfterBreak="0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4B036684"/>
    <w:multiLevelType w:val="singleLevel"/>
    <w:tmpl w:val="5B4E3F24"/>
    <w:lvl w:ilvl="0">
      <w:start w:val="1"/>
      <w:numFmt w:val="lowerLetter"/>
      <w:lvlText w:val="(%1)"/>
      <w:legacy w:legacy="1" w:legacySpace="120" w:legacyIndent="720"/>
      <w:lvlJc w:val="left"/>
      <w:pPr>
        <w:ind w:left="1260" w:hanging="720"/>
      </w:pPr>
    </w:lvl>
  </w:abstractNum>
  <w:abstractNum w:abstractNumId="14" w15:restartNumberingAfterBreak="0">
    <w:nsid w:val="4B665599"/>
    <w:multiLevelType w:val="hybridMultilevel"/>
    <w:tmpl w:val="D9169C3A"/>
    <w:lvl w:ilvl="0" w:tplc="043E2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6" w15:restartNumberingAfterBreak="0">
    <w:nsid w:val="58C37E9B"/>
    <w:multiLevelType w:val="hybridMultilevel"/>
    <w:tmpl w:val="C0561FE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8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 w16cid:durableId="634414119">
    <w:abstractNumId w:val="17"/>
  </w:num>
  <w:num w:numId="2" w16cid:durableId="745296964">
    <w:abstractNumId w:val="15"/>
  </w:num>
  <w:num w:numId="3" w16cid:durableId="2082831820">
    <w:abstractNumId w:val="11"/>
  </w:num>
  <w:num w:numId="4" w16cid:durableId="960839096">
    <w:abstractNumId w:val="12"/>
  </w:num>
  <w:num w:numId="5" w16cid:durableId="1329406968">
    <w:abstractNumId w:val="18"/>
  </w:num>
  <w:num w:numId="6" w16cid:durableId="2127655216">
    <w:abstractNumId w:val="8"/>
  </w:num>
  <w:num w:numId="7" w16cid:durableId="1560553159">
    <w:abstractNumId w:val="9"/>
  </w:num>
  <w:num w:numId="8" w16cid:durableId="232861158">
    <w:abstractNumId w:val="7"/>
  </w:num>
  <w:num w:numId="9" w16cid:durableId="1427845557">
    <w:abstractNumId w:val="6"/>
  </w:num>
  <w:num w:numId="10" w16cid:durableId="1827281270">
    <w:abstractNumId w:val="5"/>
  </w:num>
  <w:num w:numId="11" w16cid:durableId="947078390">
    <w:abstractNumId w:val="4"/>
  </w:num>
  <w:num w:numId="12" w16cid:durableId="476844996">
    <w:abstractNumId w:val="3"/>
  </w:num>
  <w:num w:numId="13" w16cid:durableId="1335036283">
    <w:abstractNumId w:val="2"/>
  </w:num>
  <w:num w:numId="14" w16cid:durableId="765275695">
    <w:abstractNumId w:val="1"/>
  </w:num>
  <w:num w:numId="15" w16cid:durableId="610939919">
    <w:abstractNumId w:val="0"/>
  </w:num>
  <w:num w:numId="16" w16cid:durableId="64376417">
    <w:abstractNumId w:val="10"/>
  </w:num>
  <w:num w:numId="17" w16cid:durableId="36901737">
    <w:abstractNumId w:val="13"/>
  </w:num>
  <w:num w:numId="18" w16cid:durableId="2046325159">
    <w:abstractNumId w:val="16"/>
  </w:num>
  <w:num w:numId="19" w16cid:durableId="1845122492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B49"/>
    <w:rsid w:val="00007CFD"/>
    <w:rsid w:val="00020DBC"/>
    <w:rsid w:val="00026C94"/>
    <w:rsid w:val="00047DAA"/>
    <w:rsid w:val="000557CD"/>
    <w:rsid w:val="00062E59"/>
    <w:rsid w:val="00064E36"/>
    <w:rsid w:val="00080560"/>
    <w:rsid w:val="00087E57"/>
    <w:rsid w:val="0009114D"/>
    <w:rsid w:val="000912D2"/>
    <w:rsid w:val="000A2908"/>
    <w:rsid w:val="000B193D"/>
    <w:rsid w:val="000B7CCD"/>
    <w:rsid w:val="000C1B0B"/>
    <w:rsid w:val="000D2BFF"/>
    <w:rsid w:val="000D73CC"/>
    <w:rsid w:val="000E68D4"/>
    <w:rsid w:val="000F0255"/>
    <w:rsid w:val="00110235"/>
    <w:rsid w:val="001223F1"/>
    <w:rsid w:val="0013537E"/>
    <w:rsid w:val="001403D5"/>
    <w:rsid w:val="0014071E"/>
    <w:rsid w:val="001476E9"/>
    <w:rsid w:val="001568BA"/>
    <w:rsid w:val="00157A31"/>
    <w:rsid w:val="00175A22"/>
    <w:rsid w:val="001777F5"/>
    <w:rsid w:val="001A00E3"/>
    <w:rsid w:val="001A17F9"/>
    <w:rsid w:val="001C00DA"/>
    <w:rsid w:val="001C0CF2"/>
    <w:rsid w:val="001C2349"/>
    <w:rsid w:val="001C3AC0"/>
    <w:rsid w:val="001F0496"/>
    <w:rsid w:val="001F14EC"/>
    <w:rsid w:val="001F3B10"/>
    <w:rsid w:val="0021548E"/>
    <w:rsid w:val="00220726"/>
    <w:rsid w:val="00224AAC"/>
    <w:rsid w:val="0022627B"/>
    <w:rsid w:val="00235E43"/>
    <w:rsid w:val="00236F2E"/>
    <w:rsid w:val="0024419E"/>
    <w:rsid w:val="00244E8F"/>
    <w:rsid w:val="00253AF9"/>
    <w:rsid w:val="002617B5"/>
    <w:rsid w:val="00276219"/>
    <w:rsid w:val="0029382E"/>
    <w:rsid w:val="00293FC8"/>
    <w:rsid w:val="002A41B6"/>
    <w:rsid w:val="002A533A"/>
    <w:rsid w:val="002B1928"/>
    <w:rsid w:val="002B195E"/>
    <w:rsid w:val="002B5184"/>
    <w:rsid w:val="002B5D29"/>
    <w:rsid w:val="002B74B9"/>
    <w:rsid w:val="002D6379"/>
    <w:rsid w:val="00304FF2"/>
    <w:rsid w:val="00320D3B"/>
    <w:rsid w:val="0032617E"/>
    <w:rsid w:val="003434CE"/>
    <w:rsid w:val="00344C15"/>
    <w:rsid w:val="00360556"/>
    <w:rsid w:val="00362AEF"/>
    <w:rsid w:val="00362DE1"/>
    <w:rsid w:val="00364CC5"/>
    <w:rsid w:val="00373F21"/>
    <w:rsid w:val="003832E1"/>
    <w:rsid w:val="0039282F"/>
    <w:rsid w:val="00392B56"/>
    <w:rsid w:val="003A4179"/>
    <w:rsid w:val="003C4324"/>
    <w:rsid w:val="003C5F25"/>
    <w:rsid w:val="003D185E"/>
    <w:rsid w:val="003E68B7"/>
    <w:rsid w:val="003F57CC"/>
    <w:rsid w:val="00424978"/>
    <w:rsid w:val="0045304B"/>
    <w:rsid w:val="00474256"/>
    <w:rsid w:val="004827FB"/>
    <w:rsid w:val="00485C50"/>
    <w:rsid w:val="00486A74"/>
    <w:rsid w:val="00497C73"/>
    <w:rsid w:val="004A488D"/>
    <w:rsid w:val="004A4FA9"/>
    <w:rsid w:val="004B022B"/>
    <w:rsid w:val="004B0D5C"/>
    <w:rsid w:val="004B3510"/>
    <w:rsid w:val="004B7B7C"/>
    <w:rsid w:val="004B7DDD"/>
    <w:rsid w:val="004C3402"/>
    <w:rsid w:val="004C749D"/>
    <w:rsid w:val="004C7C73"/>
    <w:rsid w:val="004D13C6"/>
    <w:rsid w:val="004D4194"/>
    <w:rsid w:val="004E1C84"/>
    <w:rsid w:val="004E1F0E"/>
    <w:rsid w:val="004E282D"/>
    <w:rsid w:val="004E2DEC"/>
    <w:rsid w:val="004E2F72"/>
    <w:rsid w:val="005052D8"/>
    <w:rsid w:val="005303C2"/>
    <w:rsid w:val="00535BB3"/>
    <w:rsid w:val="00544052"/>
    <w:rsid w:val="005626A9"/>
    <w:rsid w:val="00563C76"/>
    <w:rsid w:val="00587422"/>
    <w:rsid w:val="005937C2"/>
    <w:rsid w:val="00596400"/>
    <w:rsid w:val="00596E4B"/>
    <w:rsid w:val="00597B4B"/>
    <w:rsid w:val="005F010A"/>
    <w:rsid w:val="005F5B4F"/>
    <w:rsid w:val="005F75BA"/>
    <w:rsid w:val="00601248"/>
    <w:rsid w:val="00606B02"/>
    <w:rsid w:val="00616AEC"/>
    <w:rsid w:val="0063149F"/>
    <w:rsid w:val="006420EC"/>
    <w:rsid w:val="00650FD2"/>
    <w:rsid w:val="00654DC2"/>
    <w:rsid w:val="006578B1"/>
    <w:rsid w:val="0067069A"/>
    <w:rsid w:val="0067117C"/>
    <w:rsid w:val="00676124"/>
    <w:rsid w:val="00680B6B"/>
    <w:rsid w:val="006A1C97"/>
    <w:rsid w:val="006A30AB"/>
    <w:rsid w:val="006B121E"/>
    <w:rsid w:val="006C3CB8"/>
    <w:rsid w:val="006C4CD4"/>
    <w:rsid w:val="006D1FA9"/>
    <w:rsid w:val="006D7109"/>
    <w:rsid w:val="006D7119"/>
    <w:rsid w:val="006D7491"/>
    <w:rsid w:val="006E0DE4"/>
    <w:rsid w:val="006E69DF"/>
    <w:rsid w:val="006F68D1"/>
    <w:rsid w:val="006F6F9E"/>
    <w:rsid w:val="00701455"/>
    <w:rsid w:val="00717E0C"/>
    <w:rsid w:val="00727BDC"/>
    <w:rsid w:val="00745DA3"/>
    <w:rsid w:val="007518D2"/>
    <w:rsid w:val="00755DA9"/>
    <w:rsid w:val="00757CC4"/>
    <w:rsid w:val="00780568"/>
    <w:rsid w:val="00784534"/>
    <w:rsid w:val="007A0CA6"/>
    <w:rsid w:val="007A2D16"/>
    <w:rsid w:val="007B0453"/>
    <w:rsid w:val="007B3B8A"/>
    <w:rsid w:val="007C28F9"/>
    <w:rsid w:val="007C3CB9"/>
    <w:rsid w:val="007F6E8D"/>
    <w:rsid w:val="007F7956"/>
    <w:rsid w:val="008054F3"/>
    <w:rsid w:val="00805F8E"/>
    <w:rsid w:val="00806B45"/>
    <w:rsid w:val="0080730E"/>
    <w:rsid w:val="00813E9B"/>
    <w:rsid w:val="00820444"/>
    <w:rsid w:val="00825EEA"/>
    <w:rsid w:val="00844C9C"/>
    <w:rsid w:val="00845926"/>
    <w:rsid w:val="00851E74"/>
    <w:rsid w:val="00857924"/>
    <w:rsid w:val="0086188A"/>
    <w:rsid w:val="00862BAC"/>
    <w:rsid w:val="0086652D"/>
    <w:rsid w:val="00866DBB"/>
    <w:rsid w:val="00870D2B"/>
    <w:rsid w:val="00872306"/>
    <w:rsid w:val="008725E7"/>
    <w:rsid w:val="00875895"/>
    <w:rsid w:val="00876EB6"/>
    <w:rsid w:val="00881051"/>
    <w:rsid w:val="0088309C"/>
    <w:rsid w:val="00892E54"/>
    <w:rsid w:val="008A2AD5"/>
    <w:rsid w:val="008B292B"/>
    <w:rsid w:val="008B4073"/>
    <w:rsid w:val="008C1411"/>
    <w:rsid w:val="008C1EF1"/>
    <w:rsid w:val="008C46F0"/>
    <w:rsid w:val="008C4FD7"/>
    <w:rsid w:val="008C6F86"/>
    <w:rsid w:val="008D3EF2"/>
    <w:rsid w:val="008E0CE5"/>
    <w:rsid w:val="008E1F52"/>
    <w:rsid w:val="008E4D69"/>
    <w:rsid w:val="008E6B48"/>
    <w:rsid w:val="008E77E5"/>
    <w:rsid w:val="00903845"/>
    <w:rsid w:val="00930884"/>
    <w:rsid w:val="009514FF"/>
    <w:rsid w:val="00966471"/>
    <w:rsid w:val="0097155C"/>
    <w:rsid w:val="00977CAA"/>
    <w:rsid w:val="00996926"/>
    <w:rsid w:val="009A34E6"/>
    <w:rsid w:val="009A5A78"/>
    <w:rsid w:val="009B1F3A"/>
    <w:rsid w:val="009E563A"/>
    <w:rsid w:val="009E609F"/>
    <w:rsid w:val="009E72CD"/>
    <w:rsid w:val="009F328A"/>
    <w:rsid w:val="00A0164B"/>
    <w:rsid w:val="00A0404D"/>
    <w:rsid w:val="00A10C25"/>
    <w:rsid w:val="00A15325"/>
    <w:rsid w:val="00A2471F"/>
    <w:rsid w:val="00A31DF8"/>
    <w:rsid w:val="00A4134A"/>
    <w:rsid w:val="00A46BA9"/>
    <w:rsid w:val="00A72298"/>
    <w:rsid w:val="00A73BA1"/>
    <w:rsid w:val="00A8468C"/>
    <w:rsid w:val="00A85921"/>
    <w:rsid w:val="00AB269E"/>
    <w:rsid w:val="00AB62BC"/>
    <w:rsid w:val="00AC398E"/>
    <w:rsid w:val="00AC45A6"/>
    <w:rsid w:val="00AD00BC"/>
    <w:rsid w:val="00AD526F"/>
    <w:rsid w:val="00AD67F8"/>
    <w:rsid w:val="00AE0E5C"/>
    <w:rsid w:val="00AE7575"/>
    <w:rsid w:val="00AF2B5E"/>
    <w:rsid w:val="00AF433B"/>
    <w:rsid w:val="00AF4E35"/>
    <w:rsid w:val="00B13104"/>
    <w:rsid w:val="00B2013A"/>
    <w:rsid w:val="00B27204"/>
    <w:rsid w:val="00B36CC2"/>
    <w:rsid w:val="00B4507C"/>
    <w:rsid w:val="00B4605E"/>
    <w:rsid w:val="00B521F8"/>
    <w:rsid w:val="00B57B67"/>
    <w:rsid w:val="00B6765E"/>
    <w:rsid w:val="00B67838"/>
    <w:rsid w:val="00B739B6"/>
    <w:rsid w:val="00B90CB6"/>
    <w:rsid w:val="00B94927"/>
    <w:rsid w:val="00BB0105"/>
    <w:rsid w:val="00BE6F85"/>
    <w:rsid w:val="00BF0BF7"/>
    <w:rsid w:val="00BF5B0E"/>
    <w:rsid w:val="00BF7FEE"/>
    <w:rsid w:val="00C0299C"/>
    <w:rsid w:val="00C064FA"/>
    <w:rsid w:val="00C12A95"/>
    <w:rsid w:val="00C26493"/>
    <w:rsid w:val="00C31E09"/>
    <w:rsid w:val="00C37999"/>
    <w:rsid w:val="00C66819"/>
    <w:rsid w:val="00C81937"/>
    <w:rsid w:val="00C83277"/>
    <w:rsid w:val="00C83972"/>
    <w:rsid w:val="00C9110A"/>
    <w:rsid w:val="00C9499C"/>
    <w:rsid w:val="00CA38B4"/>
    <w:rsid w:val="00CA5D78"/>
    <w:rsid w:val="00CD02B4"/>
    <w:rsid w:val="00CD57E6"/>
    <w:rsid w:val="00CD607F"/>
    <w:rsid w:val="00CE542B"/>
    <w:rsid w:val="00CF32CA"/>
    <w:rsid w:val="00D03FE6"/>
    <w:rsid w:val="00D07EBC"/>
    <w:rsid w:val="00D11733"/>
    <w:rsid w:val="00D127E2"/>
    <w:rsid w:val="00D20A1B"/>
    <w:rsid w:val="00D2289A"/>
    <w:rsid w:val="00D23E6C"/>
    <w:rsid w:val="00D240B7"/>
    <w:rsid w:val="00D330F1"/>
    <w:rsid w:val="00D35347"/>
    <w:rsid w:val="00D366EF"/>
    <w:rsid w:val="00D41799"/>
    <w:rsid w:val="00D45D80"/>
    <w:rsid w:val="00D5156B"/>
    <w:rsid w:val="00D55B63"/>
    <w:rsid w:val="00D67103"/>
    <w:rsid w:val="00D70F20"/>
    <w:rsid w:val="00D7390D"/>
    <w:rsid w:val="00D900B5"/>
    <w:rsid w:val="00DA3E2A"/>
    <w:rsid w:val="00DA64FC"/>
    <w:rsid w:val="00DB1B95"/>
    <w:rsid w:val="00DB5403"/>
    <w:rsid w:val="00DB7066"/>
    <w:rsid w:val="00DC5BAC"/>
    <w:rsid w:val="00E05EAB"/>
    <w:rsid w:val="00E17103"/>
    <w:rsid w:val="00E20278"/>
    <w:rsid w:val="00E21E8E"/>
    <w:rsid w:val="00E23E31"/>
    <w:rsid w:val="00E461F0"/>
    <w:rsid w:val="00E52284"/>
    <w:rsid w:val="00E55C4D"/>
    <w:rsid w:val="00E7002D"/>
    <w:rsid w:val="00E751BF"/>
    <w:rsid w:val="00E76FD9"/>
    <w:rsid w:val="00E93E1A"/>
    <w:rsid w:val="00E97281"/>
    <w:rsid w:val="00EA1247"/>
    <w:rsid w:val="00EB57FA"/>
    <w:rsid w:val="00EC1B49"/>
    <w:rsid w:val="00EC4EC8"/>
    <w:rsid w:val="00ED56C8"/>
    <w:rsid w:val="00EE26C0"/>
    <w:rsid w:val="00EE5139"/>
    <w:rsid w:val="00EF1F8A"/>
    <w:rsid w:val="00EF3F57"/>
    <w:rsid w:val="00F00F52"/>
    <w:rsid w:val="00F10663"/>
    <w:rsid w:val="00F16F40"/>
    <w:rsid w:val="00F26DE1"/>
    <w:rsid w:val="00F31C27"/>
    <w:rsid w:val="00F33EEB"/>
    <w:rsid w:val="00F53AA1"/>
    <w:rsid w:val="00F63539"/>
    <w:rsid w:val="00F64259"/>
    <w:rsid w:val="00F643EB"/>
    <w:rsid w:val="00F7270A"/>
    <w:rsid w:val="00F74010"/>
    <w:rsid w:val="00F96299"/>
    <w:rsid w:val="00F97ECA"/>
    <w:rsid w:val="00FA19DB"/>
    <w:rsid w:val="00FB0B1C"/>
    <w:rsid w:val="00FC7738"/>
    <w:rsid w:val="00FE27D9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8608E2"/>
  <w15:docId w15:val="{2E2B7210-9229-4F7F-B1EC-A8B827F4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299C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C0299C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C0299C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,Heading 3 Char Char Char Char Char Char"/>
    <w:basedOn w:val="Normal"/>
    <w:next w:val="Normal"/>
    <w:qFormat/>
    <w:rsid w:val="00C0299C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C0299C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C0299C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C0299C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C0299C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C0299C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C0299C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C0299C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C0299C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C0299C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C0299C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C0299C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C0299C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C0299C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C0299C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C0299C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C0299C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C0299C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C0299C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C0299C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C0299C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C0299C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C0299C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C0299C"/>
  </w:style>
  <w:style w:type="paragraph" w:customStyle="1" w:styleId="TOCNumber1">
    <w:name w:val="TOC Number1"/>
    <w:basedOn w:val="Heading4"/>
    <w:autoRedefine/>
    <w:rsid w:val="00C0299C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C0299C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C0299C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C0299C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C0299C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C0299C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C0299C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C0299C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C0299C"/>
    <w:pPr>
      <w:ind w:left="240" w:hanging="240"/>
    </w:pPr>
  </w:style>
  <w:style w:type="paragraph" w:customStyle="1" w:styleId="Technical4">
    <w:name w:val="Technical 4"/>
    <w:rsid w:val="00C0299C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C0299C"/>
    <w:rPr>
      <w:rFonts w:ascii="Arial" w:hAnsi="Arial"/>
      <w:sz w:val="20"/>
    </w:rPr>
  </w:style>
  <w:style w:type="paragraph" w:customStyle="1" w:styleId="Head12">
    <w:name w:val="Head 1.2"/>
    <w:basedOn w:val="Normal"/>
    <w:rsid w:val="00C0299C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C0299C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C0299C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C0299C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C0299C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C0299C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C0299C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C0299C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C0299C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C0299C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C0299C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C0299C"/>
    <w:pPr>
      <w:numPr>
        <w:numId w:val="7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C0299C"/>
    <w:pPr>
      <w:numPr>
        <w:numId w:val="8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C0299C"/>
    <w:pPr>
      <w:numPr>
        <w:numId w:val="9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C0299C"/>
    <w:pPr>
      <w:numPr>
        <w:numId w:val="10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C0299C"/>
    <w:pPr>
      <w:numPr>
        <w:numId w:val="11"/>
      </w:numPr>
    </w:pPr>
    <w:rPr>
      <w:sz w:val="20"/>
      <w:szCs w:val="20"/>
    </w:rPr>
  </w:style>
  <w:style w:type="paragraph" w:styleId="ListNumber">
    <w:name w:val="List Number"/>
    <w:basedOn w:val="Normal"/>
    <w:rsid w:val="00C0299C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C0299C"/>
    <w:pPr>
      <w:numPr>
        <w:numId w:val="12"/>
      </w:numPr>
    </w:pPr>
    <w:rPr>
      <w:sz w:val="20"/>
      <w:szCs w:val="20"/>
    </w:rPr>
  </w:style>
  <w:style w:type="paragraph" w:styleId="ListNumber3">
    <w:name w:val="List Number 3"/>
    <w:basedOn w:val="Normal"/>
    <w:rsid w:val="00C0299C"/>
    <w:pPr>
      <w:numPr>
        <w:numId w:val="13"/>
      </w:numPr>
    </w:pPr>
    <w:rPr>
      <w:sz w:val="20"/>
      <w:szCs w:val="20"/>
    </w:rPr>
  </w:style>
  <w:style w:type="paragraph" w:styleId="ListNumber4">
    <w:name w:val="List Number 4"/>
    <w:basedOn w:val="Normal"/>
    <w:rsid w:val="00C0299C"/>
    <w:pPr>
      <w:numPr>
        <w:numId w:val="14"/>
      </w:numPr>
    </w:pPr>
    <w:rPr>
      <w:sz w:val="20"/>
      <w:szCs w:val="20"/>
    </w:rPr>
  </w:style>
  <w:style w:type="paragraph" w:styleId="ListNumber5">
    <w:name w:val="List Number 5"/>
    <w:basedOn w:val="Normal"/>
    <w:rsid w:val="00C0299C"/>
    <w:pPr>
      <w:numPr>
        <w:numId w:val="15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C0299C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C0299C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C0299C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C0299C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C0299C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C0299C"/>
    <w:rPr>
      <w:color w:val="0000FF"/>
      <w:u w:val="single"/>
    </w:rPr>
  </w:style>
  <w:style w:type="paragraph" w:customStyle="1" w:styleId="Level3Body">
    <w:name w:val="Level 3 (Body)"/>
    <w:rsid w:val="00C0299C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C0299C"/>
    <w:pPr>
      <w:ind w:left="720" w:hanging="360"/>
    </w:pPr>
  </w:style>
  <w:style w:type="paragraph" w:styleId="List3">
    <w:name w:val="List 3"/>
    <w:basedOn w:val="Normal"/>
    <w:rsid w:val="00C0299C"/>
    <w:pPr>
      <w:ind w:left="1080" w:hanging="360"/>
    </w:pPr>
  </w:style>
  <w:style w:type="paragraph" w:styleId="MessageHeader">
    <w:name w:val="Message Header"/>
    <w:basedOn w:val="Normal"/>
    <w:rsid w:val="00C0299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C0299C"/>
    <w:pPr>
      <w:spacing w:after="120"/>
      <w:ind w:left="720"/>
    </w:pPr>
  </w:style>
  <w:style w:type="paragraph" w:styleId="ListContinue3">
    <w:name w:val="List Continue 3"/>
    <w:basedOn w:val="Normal"/>
    <w:rsid w:val="00C0299C"/>
    <w:pPr>
      <w:spacing w:after="120"/>
      <w:ind w:left="1080"/>
    </w:pPr>
  </w:style>
  <w:style w:type="paragraph" w:customStyle="1" w:styleId="Enclosure">
    <w:name w:val="Enclosure"/>
    <w:basedOn w:val="Normal"/>
    <w:rsid w:val="00C0299C"/>
  </w:style>
  <w:style w:type="paragraph" w:styleId="NormalIndent">
    <w:name w:val="Normal Indent"/>
    <w:basedOn w:val="Normal"/>
    <w:rsid w:val="00C0299C"/>
    <w:pPr>
      <w:ind w:left="720"/>
    </w:pPr>
  </w:style>
  <w:style w:type="character" w:styleId="FollowedHyperlink">
    <w:name w:val="FollowedHyperlink"/>
    <w:basedOn w:val="DefaultParagraphFont"/>
    <w:rsid w:val="00C0299C"/>
    <w:rPr>
      <w:color w:val="800080"/>
      <w:u w:val="single"/>
    </w:rPr>
  </w:style>
  <w:style w:type="paragraph" w:styleId="BodyTextIndent2">
    <w:name w:val="Body Text Indent 2"/>
    <w:basedOn w:val="Normal"/>
    <w:rsid w:val="00C0299C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C0299C"/>
  </w:style>
  <w:style w:type="paragraph" w:styleId="IndexHeading">
    <w:name w:val="index heading"/>
    <w:basedOn w:val="Normal"/>
    <w:next w:val="Index1"/>
    <w:semiHidden/>
    <w:rsid w:val="00C0299C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C0299C"/>
    <w:rPr>
      <w:vertAlign w:val="superscript"/>
    </w:rPr>
  </w:style>
  <w:style w:type="paragraph" w:customStyle="1" w:styleId="RightPar5">
    <w:name w:val="Right Par 5"/>
    <w:rsid w:val="00C0299C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C0299C"/>
  </w:style>
  <w:style w:type="character" w:customStyle="1" w:styleId="TechInit">
    <w:name w:val="Tech Init"/>
    <w:basedOn w:val="DefaultParagraphFont"/>
    <w:rsid w:val="00C0299C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C0299C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C0299C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C0299C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C0299C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C0299C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C0299C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C0299C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C0299C"/>
  </w:style>
  <w:style w:type="paragraph" w:customStyle="1" w:styleId="Document1">
    <w:name w:val="Document 1"/>
    <w:rsid w:val="00C0299C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C0299C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C0299C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C0299C"/>
    <w:rPr>
      <w:b/>
      <w:i/>
      <w:sz w:val="20"/>
    </w:rPr>
  </w:style>
  <w:style w:type="character" w:customStyle="1" w:styleId="Document5">
    <w:name w:val="Document 5"/>
    <w:basedOn w:val="DefaultParagraphFont"/>
    <w:rsid w:val="00C0299C"/>
  </w:style>
  <w:style w:type="character" w:customStyle="1" w:styleId="Document6">
    <w:name w:val="Document 6"/>
    <w:basedOn w:val="DefaultParagraphFont"/>
    <w:rsid w:val="00C0299C"/>
  </w:style>
  <w:style w:type="character" w:customStyle="1" w:styleId="Document7">
    <w:name w:val="Document 7"/>
    <w:basedOn w:val="DefaultParagraphFont"/>
    <w:rsid w:val="00C0299C"/>
  </w:style>
  <w:style w:type="character" w:customStyle="1" w:styleId="Document8">
    <w:name w:val="Document 8"/>
    <w:basedOn w:val="DefaultParagraphFont"/>
    <w:rsid w:val="00C0299C"/>
  </w:style>
  <w:style w:type="paragraph" w:customStyle="1" w:styleId="Pleading">
    <w:name w:val="Pleading"/>
    <w:rsid w:val="00C0299C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C0299C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C0299C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C0299C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C0299C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C0299C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C0299C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C0299C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C0299C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C0299C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C0299C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C0299C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C0299C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C0299C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C0299C"/>
  </w:style>
  <w:style w:type="character" w:customStyle="1" w:styleId="BulletList">
    <w:name w:val="Bullet List"/>
    <w:basedOn w:val="DefaultParagraphFont"/>
    <w:rsid w:val="00C0299C"/>
  </w:style>
  <w:style w:type="paragraph" w:customStyle="1" w:styleId="Head21">
    <w:name w:val="Head 2.1"/>
    <w:basedOn w:val="Normal"/>
    <w:rsid w:val="00C0299C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C0299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C0299C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C0299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C0299C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C0299C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C0299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C0299C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C0299C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semiHidden/>
    <w:rsid w:val="00C0299C"/>
    <w:pPr>
      <w:ind w:left="480"/>
    </w:pPr>
  </w:style>
  <w:style w:type="paragraph" w:styleId="TOC4">
    <w:name w:val="toc 4"/>
    <w:basedOn w:val="Normal"/>
    <w:next w:val="Normal"/>
    <w:autoRedefine/>
    <w:semiHidden/>
    <w:rsid w:val="00C0299C"/>
    <w:pPr>
      <w:ind w:left="720"/>
    </w:pPr>
  </w:style>
  <w:style w:type="paragraph" w:styleId="TOC5">
    <w:name w:val="toc 5"/>
    <w:basedOn w:val="Normal"/>
    <w:next w:val="Normal"/>
    <w:autoRedefine/>
    <w:semiHidden/>
    <w:rsid w:val="00C0299C"/>
    <w:pPr>
      <w:ind w:left="960"/>
    </w:pPr>
  </w:style>
  <w:style w:type="paragraph" w:styleId="TOC6">
    <w:name w:val="toc 6"/>
    <w:basedOn w:val="Normal"/>
    <w:next w:val="Normal"/>
    <w:autoRedefine/>
    <w:semiHidden/>
    <w:rsid w:val="00C0299C"/>
    <w:pPr>
      <w:ind w:left="1200"/>
    </w:pPr>
  </w:style>
  <w:style w:type="paragraph" w:styleId="TOC7">
    <w:name w:val="toc 7"/>
    <w:basedOn w:val="Normal"/>
    <w:next w:val="Normal"/>
    <w:autoRedefine/>
    <w:semiHidden/>
    <w:rsid w:val="00C0299C"/>
    <w:pPr>
      <w:ind w:left="1440"/>
    </w:pPr>
  </w:style>
  <w:style w:type="paragraph" w:styleId="TOC8">
    <w:name w:val="toc 8"/>
    <w:basedOn w:val="Normal"/>
    <w:next w:val="Normal"/>
    <w:autoRedefine/>
    <w:semiHidden/>
    <w:rsid w:val="00C0299C"/>
    <w:pPr>
      <w:ind w:left="1680"/>
    </w:pPr>
  </w:style>
  <w:style w:type="paragraph" w:styleId="TOC9">
    <w:name w:val="toc 9"/>
    <w:basedOn w:val="Normal"/>
    <w:next w:val="Normal"/>
    <w:autoRedefine/>
    <w:semiHidden/>
    <w:rsid w:val="00C0299C"/>
    <w:pPr>
      <w:ind w:left="1920"/>
    </w:pPr>
  </w:style>
  <w:style w:type="character" w:styleId="CommentReference">
    <w:name w:val="annotation reference"/>
    <w:basedOn w:val="DefaultParagraphFont"/>
    <w:semiHidden/>
    <w:rsid w:val="00C0299C"/>
    <w:rPr>
      <w:sz w:val="16"/>
      <w:szCs w:val="16"/>
    </w:rPr>
  </w:style>
  <w:style w:type="paragraph" w:customStyle="1" w:styleId="SBDTabletext">
    <w:name w:val="SBD_Table text"/>
    <w:basedOn w:val="Normal"/>
    <w:uiPriority w:val="99"/>
    <w:rsid w:val="00930884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deal Sans Light" w:eastAsia="Calibri" w:hAnsi="Ideal Sans Light" w:cs="Ideal Sans Light"/>
      <w:color w:val="000000"/>
      <w:w w:val="97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9282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9282F"/>
    <w:rPr>
      <w:sz w:val="24"/>
      <w:szCs w:val="24"/>
    </w:rPr>
  </w:style>
  <w:style w:type="paragraph" w:styleId="Revision">
    <w:name w:val="Revision"/>
    <w:hidden/>
    <w:uiPriority w:val="99"/>
    <w:semiHidden/>
    <w:rsid w:val="004B35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93F5385765F840BB57D0D6A4748703" ma:contentTypeVersion="15" ma:contentTypeDescription="Create a new document." ma:contentTypeScope="" ma:versionID="327d50239f494de96802abe99309c72c">
  <xsd:schema xmlns:xsd="http://www.w3.org/2001/XMLSchema" xmlns:xs="http://www.w3.org/2001/XMLSchema" xmlns:p="http://schemas.microsoft.com/office/2006/metadata/properties" xmlns:ns2="fb731e9d-5637-44d8-8895-1091b875c833" xmlns:ns3="7e1565fe-491a-4b0c-8ac0-730e967d8dcf" targetNamespace="http://schemas.microsoft.com/office/2006/metadata/properties" ma:root="true" ma:fieldsID="c7d8e9b179e1e56d18483141d8e11f8f" ns2:_="" ns3:_="">
    <xsd:import namespace="fb731e9d-5637-44d8-8895-1091b875c833"/>
    <xsd:import namespace="7e1565fe-491a-4b0c-8ac0-730e967d8d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731e9d-5637-44d8-8895-1091b875c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936913-2be3-4241-bc17-813e0d3c39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Date" ma:index="18" nillable="true" ma:displayName="Date" ma:format="Dropdown" ma:internalName="Date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565fe-491a-4b0c-8ac0-730e967d8d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4105abd-594c-42a7-abc5-c237c70816eb}" ma:internalName="TaxCatchAll" ma:showField="CatchAllData" ma:web="7e1565fe-491a-4b0c-8ac0-730e967d8d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1565fe-491a-4b0c-8ac0-730e967d8dcf" xsi:nil="true"/>
    <lcf76f155ced4ddcb4097134ff3c332f xmlns="fb731e9d-5637-44d8-8895-1091b875c833">
      <Terms xmlns="http://schemas.microsoft.com/office/infopath/2007/PartnerControls"/>
    </lcf76f155ced4ddcb4097134ff3c332f>
    <Date xmlns="fb731e9d-5637-44d8-8895-1091b875c833" xsi:nil="true"/>
  </documentManagement>
</p:properties>
</file>

<file path=customXml/itemProps1.xml><?xml version="1.0" encoding="utf-8"?>
<ds:datastoreItem xmlns:ds="http://schemas.openxmlformats.org/officeDocument/2006/customXml" ds:itemID="{FF4DD8B5-5106-4110-8294-64EBB3485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731e9d-5637-44d8-8895-1091b875c833"/>
    <ds:schemaRef ds:uri="7e1565fe-491a-4b0c-8ac0-730e967d8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442C32-270B-4432-A092-F424C249FC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DA10D3-5DB5-4138-A48D-2BBF4E99F420}">
  <ds:schemaRefs>
    <ds:schemaRef ds:uri="http://schemas.microsoft.com/office/2006/metadata/properties"/>
    <ds:schemaRef ds:uri="http://schemas.microsoft.com/office/infopath/2007/PartnerControls"/>
    <ds:schemaRef ds:uri="7e1565fe-491a-4b0c-8ac0-730e967d8dcf"/>
    <ds:schemaRef ds:uri="fb731e9d-5637-44d8-8895-1091b875c8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Works - Small Contracts</vt:lpstr>
    </vt:vector>
  </TitlesOfParts>
  <Company>Asian Development Bank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Works - Small Contracts</dc:title>
  <dc:subject>SBD Small Works</dc:subject>
  <dc:creator>Asian Development Bank</dc:creator>
  <cp:keywords>SBD, Small Works, 1S1E</cp:keywords>
  <dc:description/>
  <cp:lastModifiedBy>Mohamed Rishwan</cp:lastModifiedBy>
  <cp:revision>2</cp:revision>
  <cp:lastPrinted>2013-03-19T01:38:00Z</cp:lastPrinted>
  <dcterms:created xsi:type="dcterms:W3CDTF">2025-09-30T10:39:00Z</dcterms:created>
  <dcterms:modified xsi:type="dcterms:W3CDTF">2025-09-30T10:39:00Z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0x010100D493F5385765F840BB57D0D6A4748703</vt:lpwstr>
  </property>
</Properties>
</file>